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04" w:rsidRDefault="00A01404">
      <w:pPr>
        <w:pStyle w:val="Default"/>
        <w:rPr>
          <w:b/>
          <w:bCs/>
          <w:sz w:val="28"/>
          <w:szCs w:val="28"/>
        </w:rPr>
      </w:pPr>
    </w:p>
    <w:p w:rsidR="00A01404" w:rsidRDefault="00552F41">
      <w:pPr>
        <w:pStyle w:val="Default"/>
        <w:jc w:val="center"/>
        <w:rPr>
          <w:b/>
          <w:bCs/>
          <w:sz w:val="40"/>
          <w:szCs w:val="40"/>
        </w:rPr>
      </w:pPr>
      <w:r>
        <w:rPr>
          <w:b/>
          <w:bCs/>
          <w:sz w:val="40"/>
          <w:szCs w:val="40"/>
        </w:rPr>
        <w:t>Dienstbarkeitsvereinbarung</w:t>
      </w:r>
    </w:p>
    <w:p w:rsidR="00A01404" w:rsidRDefault="00A01404">
      <w:pPr>
        <w:pStyle w:val="Default"/>
        <w:jc w:val="center"/>
        <w:rPr>
          <w:sz w:val="28"/>
          <w:szCs w:val="28"/>
        </w:rPr>
      </w:pPr>
    </w:p>
    <w:p w:rsidR="00A01404" w:rsidRDefault="00A01404">
      <w:pPr>
        <w:pStyle w:val="Default"/>
        <w:jc w:val="center"/>
        <w:rPr>
          <w:sz w:val="28"/>
          <w:szCs w:val="28"/>
        </w:rPr>
      </w:pPr>
    </w:p>
    <w:p w:rsidR="00A01404" w:rsidRDefault="00552F41">
      <w:pPr>
        <w:pStyle w:val="Default"/>
        <w:rPr>
          <w:sz w:val="28"/>
          <w:szCs w:val="28"/>
        </w:rPr>
      </w:pPr>
      <w:r>
        <w:rPr>
          <w:sz w:val="28"/>
          <w:szCs w:val="28"/>
        </w:rPr>
        <w:t xml:space="preserve">       abgeschlossen zwischen den Vertragspartnern</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numPr>
          <w:ilvl w:val="0"/>
          <w:numId w:val="11"/>
        </w:numPr>
        <w:rPr>
          <w:sz w:val="28"/>
          <w:szCs w:val="28"/>
        </w:rPr>
      </w:pPr>
      <w:r>
        <w:rPr>
          <w:sz w:val="28"/>
          <w:szCs w:val="28"/>
        </w:rPr>
        <w:t xml:space="preserve">……………………………………………..als Grundeigentümer und Dienstbarkeitsgeber einerseits, in Folge kurz Dienstbarkeitsgeber bezeichnet und </w:t>
      </w:r>
    </w:p>
    <w:p w:rsidR="00A01404" w:rsidRDefault="00A01404">
      <w:pPr>
        <w:pStyle w:val="Default"/>
        <w:ind w:left="720"/>
        <w:rPr>
          <w:sz w:val="28"/>
          <w:szCs w:val="28"/>
        </w:rPr>
      </w:pPr>
    </w:p>
    <w:p w:rsidR="00A01404" w:rsidRDefault="00552F41">
      <w:pPr>
        <w:pStyle w:val="Default"/>
        <w:numPr>
          <w:ilvl w:val="0"/>
          <w:numId w:val="11"/>
        </w:numPr>
        <w:rPr>
          <w:sz w:val="28"/>
          <w:szCs w:val="28"/>
        </w:rPr>
      </w:pPr>
      <w:r>
        <w:rPr>
          <w:sz w:val="28"/>
          <w:szCs w:val="28"/>
        </w:rPr>
        <w:t xml:space="preserve">…………………………………………….. (Gemeinde oder Genossenschaft) als Dienstbarkeitsnehmer andererseits, in Folge Kurz Dienstbarkeitsnehmer bezeichnet. </w:t>
      </w:r>
    </w:p>
    <w:p w:rsidR="00A01404" w:rsidRDefault="00A01404">
      <w:pPr>
        <w:pStyle w:val="Default"/>
        <w:rPr>
          <w:b/>
          <w:bCs/>
          <w:sz w:val="28"/>
          <w:szCs w:val="28"/>
        </w:rPr>
      </w:pPr>
    </w:p>
    <w:p w:rsidR="00A01404" w:rsidRDefault="00A01404">
      <w:pPr>
        <w:pStyle w:val="Default"/>
        <w:rPr>
          <w:b/>
          <w:bCs/>
          <w:sz w:val="28"/>
          <w:szCs w:val="28"/>
        </w:rPr>
      </w:pPr>
    </w:p>
    <w:p w:rsidR="00A01404" w:rsidRDefault="00552F41">
      <w:pPr>
        <w:pStyle w:val="Default"/>
        <w:jc w:val="center"/>
        <w:rPr>
          <w:sz w:val="28"/>
          <w:szCs w:val="28"/>
        </w:rPr>
      </w:pPr>
      <w:r>
        <w:rPr>
          <w:b/>
          <w:bCs/>
          <w:sz w:val="28"/>
          <w:szCs w:val="28"/>
        </w:rPr>
        <w:t>Präambel</w:t>
      </w:r>
    </w:p>
    <w:p w:rsidR="00A01404" w:rsidRDefault="00A01404">
      <w:pPr>
        <w:pStyle w:val="Default"/>
        <w:rPr>
          <w:sz w:val="28"/>
          <w:szCs w:val="28"/>
        </w:rPr>
      </w:pPr>
    </w:p>
    <w:p w:rsidR="00A01404" w:rsidRDefault="00552F41">
      <w:pPr>
        <w:pStyle w:val="Default"/>
        <w:jc w:val="both"/>
        <w:rPr>
          <w:sz w:val="28"/>
          <w:szCs w:val="28"/>
        </w:rPr>
      </w:pPr>
      <w:r>
        <w:rPr>
          <w:sz w:val="28"/>
          <w:szCs w:val="28"/>
        </w:rPr>
        <w:t>Starkregenereignisse erfordern immer wieder wegen Gefahr in Verzug die kurzfristige Räumung von Retentions</w:t>
      </w:r>
      <w:r>
        <w:rPr>
          <w:sz w:val="28"/>
          <w:szCs w:val="28"/>
        </w:rPr>
        <w:t xml:space="preserve">becken bei Wildbächen. </w:t>
      </w:r>
    </w:p>
    <w:p w:rsidR="00A01404" w:rsidRDefault="00A01404">
      <w:pPr>
        <w:pStyle w:val="Default"/>
        <w:jc w:val="both"/>
        <w:rPr>
          <w:sz w:val="28"/>
          <w:szCs w:val="28"/>
        </w:rPr>
      </w:pPr>
    </w:p>
    <w:p w:rsidR="00A01404" w:rsidRDefault="00552F41">
      <w:pPr>
        <w:pStyle w:val="Default"/>
        <w:jc w:val="both"/>
        <w:rPr>
          <w:sz w:val="28"/>
          <w:szCs w:val="28"/>
        </w:rPr>
      </w:pPr>
      <w:r>
        <w:rPr>
          <w:sz w:val="28"/>
          <w:szCs w:val="28"/>
        </w:rPr>
        <w:t>Ebenso sind Räumungsarbeiten im Zusammenhang mit der Erhaltung der Funktionstüchtigkeit von Wildbachsperren notwendig.</w:t>
      </w:r>
    </w:p>
    <w:p w:rsidR="00A01404" w:rsidRDefault="00552F41">
      <w:pPr>
        <w:pStyle w:val="Default"/>
        <w:jc w:val="both"/>
        <w:rPr>
          <w:sz w:val="28"/>
          <w:szCs w:val="28"/>
        </w:rPr>
      </w:pPr>
      <w:r>
        <w:rPr>
          <w:sz w:val="28"/>
          <w:szCs w:val="28"/>
        </w:rPr>
        <w:t xml:space="preserve"> </w:t>
      </w:r>
      <w:r>
        <w:rPr>
          <w:sz w:val="28"/>
          <w:szCs w:val="28"/>
        </w:rPr>
        <w:br/>
        <w:t>Räumungsarbeiten werden aber auch als Folge von Überschwemmungen notwendig sowie nach Muren- und Lawinenabgäng</w:t>
      </w:r>
      <w:r>
        <w:rPr>
          <w:sz w:val="28"/>
          <w:szCs w:val="28"/>
        </w:rPr>
        <w:t xml:space="preserve">en. </w:t>
      </w:r>
    </w:p>
    <w:p w:rsidR="00A01404" w:rsidRDefault="00A01404">
      <w:pPr>
        <w:pStyle w:val="Default"/>
        <w:jc w:val="both"/>
        <w:rPr>
          <w:sz w:val="28"/>
          <w:szCs w:val="28"/>
        </w:rPr>
      </w:pPr>
    </w:p>
    <w:p w:rsidR="00A01404" w:rsidRDefault="00552F41">
      <w:pPr>
        <w:pStyle w:val="Default"/>
        <w:jc w:val="both"/>
        <w:rPr>
          <w:sz w:val="28"/>
          <w:szCs w:val="28"/>
        </w:rPr>
      </w:pPr>
      <w:r>
        <w:rPr>
          <w:sz w:val="28"/>
          <w:szCs w:val="28"/>
        </w:rPr>
        <w:t>Dazu ist es erforderlich, geeignete Ablagerungs- bzw. Verwertungsflächen im Nahbereich der Anfallsorte festzulegen, für die bereits im Vorhinein die verwaltungsrechtlichen Voraussetzungen für eine zulässige Inanspruchnahme der Ablagerungs- bzw. Verwe</w:t>
      </w:r>
      <w:r>
        <w:rPr>
          <w:sz w:val="28"/>
          <w:szCs w:val="28"/>
        </w:rPr>
        <w:t>rtungsflächen vorliegen sowie die zivilrechtliche Zustimmung des Grundeigentümers gegeben ist.</w:t>
      </w:r>
    </w:p>
    <w:p w:rsidR="00A01404" w:rsidRDefault="00A01404">
      <w:pPr>
        <w:pStyle w:val="Default"/>
        <w:jc w:val="both"/>
        <w:rPr>
          <w:sz w:val="28"/>
          <w:szCs w:val="28"/>
        </w:rPr>
      </w:pPr>
    </w:p>
    <w:p w:rsidR="00A01404" w:rsidRDefault="00552F41">
      <w:pPr>
        <w:pStyle w:val="Default"/>
        <w:jc w:val="both"/>
        <w:rPr>
          <w:sz w:val="28"/>
          <w:szCs w:val="28"/>
        </w:rPr>
      </w:pPr>
      <w:r>
        <w:rPr>
          <w:sz w:val="28"/>
          <w:szCs w:val="28"/>
        </w:rPr>
        <w:t>Ziel dieser Vereinbarung ist die Regelung der Rechtsbeziehung zwischen Grundstückseigentümern einerseits sowie der Gemeinde/Genossenschaft andererseits in Bezug</w:t>
      </w:r>
      <w:r>
        <w:rPr>
          <w:sz w:val="28"/>
          <w:szCs w:val="28"/>
        </w:rPr>
        <w:t xml:space="preserve"> auf die im hohen öffentlichen Interesse gelegene zur Verfügungsstellung von Grundflächen zwecks Materialablagerung und Verwertung dieser Grundflächen in Katastrophenfällen, insbesondere im Zuge von Hochwasserereignissen,  Muren- und Lawinenaufräumungen so</w:t>
      </w:r>
      <w:r>
        <w:rPr>
          <w:sz w:val="28"/>
          <w:szCs w:val="28"/>
        </w:rPr>
        <w:t xml:space="preserve">wie Wildbachsperrenräumungen. </w:t>
      </w:r>
    </w:p>
    <w:p w:rsidR="00A01404" w:rsidRDefault="00A01404">
      <w:pPr>
        <w:pStyle w:val="Default"/>
        <w:ind w:left="426"/>
        <w:jc w:val="both"/>
        <w:rPr>
          <w:sz w:val="28"/>
          <w:szCs w:val="28"/>
        </w:rPr>
      </w:pPr>
    </w:p>
    <w:p w:rsidR="00A01404" w:rsidRDefault="00A01404">
      <w:pPr>
        <w:pStyle w:val="Default"/>
        <w:ind w:left="426"/>
        <w:jc w:val="both"/>
        <w:rPr>
          <w:sz w:val="28"/>
          <w:szCs w:val="28"/>
        </w:rPr>
      </w:pPr>
    </w:p>
    <w:p w:rsidR="00A01404" w:rsidRDefault="00A01404">
      <w:pPr>
        <w:pStyle w:val="Default"/>
        <w:ind w:left="426"/>
        <w:jc w:val="both"/>
        <w:rPr>
          <w:sz w:val="28"/>
          <w:szCs w:val="28"/>
        </w:rPr>
      </w:pPr>
    </w:p>
    <w:p w:rsidR="00A01404" w:rsidRDefault="00552F41">
      <w:pPr>
        <w:pStyle w:val="Default"/>
        <w:numPr>
          <w:ilvl w:val="0"/>
          <w:numId w:val="13"/>
        </w:numPr>
        <w:jc w:val="center"/>
        <w:rPr>
          <w:b/>
          <w:bCs/>
          <w:sz w:val="28"/>
          <w:szCs w:val="28"/>
        </w:rPr>
      </w:pPr>
      <w:r>
        <w:rPr>
          <w:b/>
          <w:bCs/>
          <w:sz w:val="28"/>
          <w:szCs w:val="28"/>
        </w:rPr>
        <w:t>Inhalt der Dienstbarkeit</w:t>
      </w:r>
    </w:p>
    <w:p w:rsidR="00A01404" w:rsidRDefault="00A01404">
      <w:pPr>
        <w:pStyle w:val="Default"/>
        <w:rPr>
          <w:sz w:val="28"/>
          <w:szCs w:val="28"/>
        </w:rPr>
      </w:pPr>
    </w:p>
    <w:p w:rsidR="00A01404" w:rsidRDefault="00552F41">
      <w:pPr>
        <w:pStyle w:val="Default"/>
        <w:rPr>
          <w:sz w:val="28"/>
          <w:szCs w:val="28"/>
        </w:rPr>
      </w:pPr>
      <w:r>
        <w:rPr>
          <w:sz w:val="28"/>
          <w:szCs w:val="28"/>
        </w:rPr>
        <w:t>Folgender Grundbuchstand liegt vor:</w:t>
      </w:r>
    </w:p>
    <w:p w:rsidR="00A01404" w:rsidRDefault="00A01404">
      <w:pPr>
        <w:pStyle w:val="Default"/>
        <w:rPr>
          <w:sz w:val="28"/>
          <w:szCs w:val="28"/>
        </w:rPr>
      </w:pPr>
    </w:p>
    <w:p w:rsidR="00A01404" w:rsidRDefault="00552F41">
      <w:pPr>
        <w:pStyle w:val="Default"/>
        <w:rPr>
          <w:sz w:val="28"/>
          <w:szCs w:val="28"/>
        </w:rPr>
      </w:pPr>
      <w:r>
        <w:rPr>
          <w:sz w:val="28"/>
          <w:szCs w:val="28"/>
        </w:rPr>
        <w:t>Grundbuchsstand: Auszug Grundbuch</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rPr>
          <w:sz w:val="28"/>
          <w:szCs w:val="28"/>
        </w:rPr>
      </w:pPr>
      <w:r>
        <w:rPr>
          <w:sz w:val="28"/>
          <w:szCs w:val="28"/>
        </w:rPr>
        <w:t xml:space="preserve">Der Dienstbarkeitsgeber räumt dem Dienstbarkeitsnehmer das Recht ein auf die Dauer der in Punkt VII. vereinbarten Laufzeit Räumungsmaterial wie in der Präambel dargestellt, sofern dieses die Bodenaushubqualität lt.  Fußnote 1 aufweist, auf </w:t>
      </w:r>
    </w:p>
    <w:p w:rsidR="00A01404" w:rsidRDefault="00552F41">
      <w:pPr>
        <w:pStyle w:val="Default"/>
        <w:rPr>
          <w:sz w:val="28"/>
          <w:szCs w:val="28"/>
        </w:rPr>
      </w:pPr>
      <w:r>
        <w:rPr>
          <w:sz w:val="28"/>
          <w:szCs w:val="28"/>
        </w:rPr>
        <w:t xml:space="preserve">GN </w:t>
      </w:r>
    </w:p>
    <w:p w:rsidR="00A01404" w:rsidRDefault="00552F41">
      <w:pPr>
        <w:pStyle w:val="Default"/>
        <w:rPr>
          <w:sz w:val="28"/>
          <w:szCs w:val="28"/>
        </w:rPr>
      </w:pPr>
      <w:r>
        <w:rPr>
          <w:sz w:val="28"/>
          <w:szCs w:val="28"/>
        </w:rPr>
        <w:t xml:space="preserve">KG </w:t>
      </w:r>
    </w:p>
    <w:p w:rsidR="00A01404" w:rsidRDefault="00552F41">
      <w:pPr>
        <w:pStyle w:val="Default"/>
        <w:rPr>
          <w:sz w:val="28"/>
          <w:szCs w:val="28"/>
        </w:rPr>
      </w:pPr>
      <w:r>
        <w:rPr>
          <w:sz w:val="28"/>
          <w:szCs w:val="28"/>
        </w:rPr>
        <w:t>auf ein</w:t>
      </w:r>
      <w:r>
        <w:rPr>
          <w:sz w:val="28"/>
          <w:szCs w:val="28"/>
        </w:rPr>
        <w:t>er Fläche im Ausmaß von max. ………. m² und einer Höhe bis…….m.</w:t>
      </w:r>
    </w:p>
    <w:p w:rsidR="00A01404" w:rsidRDefault="00552F41">
      <w:pPr>
        <w:pStyle w:val="Default"/>
        <w:rPr>
          <w:sz w:val="28"/>
          <w:szCs w:val="28"/>
        </w:rPr>
      </w:pPr>
      <w:r>
        <w:rPr>
          <w:sz w:val="28"/>
          <w:szCs w:val="28"/>
        </w:rPr>
        <w:t xml:space="preserve">dauerhafte abzulagern und zwar mit dem Ziel, eine land- oder forstwirtschaftlich nutzbare Fläche herzustellen. </w:t>
      </w:r>
    </w:p>
    <w:p w:rsidR="00A01404" w:rsidRDefault="00A01404">
      <w:pPr>
        <w:pStyle w:val="Default"/>
        <w:rPr>
          <w:sz w:val="28"/>
          <w:szCs w:val="28"/>
        </w:rPr>
      </w:pPr>
    </w:p>
    <w:p w:rsidR="00A01404" w:rsidRDefault="00552F41">
      <w:pPr>
        <w:pStyle w:val="Default"/>
        <w:rPr>
          <w:sz w:val="28"/>
          <w:szCs w:val="28"/>
        </w:rPr>
      </w:pPr>
      <w:r>
        <w:rPr>
          <w:sz w:val="28"/>
          <w:szCs w:val="28"/>
        </w:rPr>
        <w:t>Die Zufahrt erfolgt über…  (Bezeichnung der Abzweigung von der Gemeinde/Landes/Bun</w:t>
      </w:r>
      <w:r>
        <w:rPr>
          <w:sz w:val="28"/>
          <w:szCs w:val="28"/>
        </w:rPr>
        <w:t>desstraße).</w:t>
      </w:r>
    </w:p>
    <w:p w:rsidR="00A01404" w:rsidRDefault="00A01404">
      <w:pPr>
        <w:pStyle w:val="Default"/>
        <w:rPr>
          <w:sz w:val="28"/>
          <w:szCs w:val="28"/>
        </w:rPr>
      </w:pPr>
    </w:p>
    <w:p w:rsidR="00A01404" w:rsidRDefault="00552F41">
      <w:pPr>
        <w:pStyle w:val="Default"/>
        <w:rPr>
          <w:sz w:val="28"/>
          <w:szCs w:val="28"/>
        </w:rPr>
      </w:pPr>
      <w:r>
        <w:rPr>
          <w:sz w:val="28"/>
          <w:szCs w:val="28"/>
        </w:rPr>
        <w:t xml:space="preserve">Die genauere Lage der Ablagerungs- bzw. Verwertungsfläche sowie der Zufahrt ist aus beiliegendem Lageplan zu entnehmen, welcher einen Bestandteil dieses Vertrages bildet. </w:t>
      </w:r>
    </w:p>
    <w:p w:rsidR="00A01404" w:rsidRDefault="00A01404">
      <w:pPr>
        <w:pStyle w:val="Default"/>
        <w:rPr>
          <w:sz w:val="28"/>
          <w:szCs w:val="28"/>
        </w:rPr>
      </w:pPr>
    </w:p>
    <w:p w:rsidR="00A01404" w:rsidRDefault="00552F41">
      <w:pPr>
        <w:pStyle w:val="Default"/>
        <w:rPr>
          <w:sz w:val="28"/>
          <w:szCs w:val="28"/>
        </w:rPr>
      </w:pPr>
      <w:r>
        <w:rPr>
          <w:sz w:val="28"/>
          <w:szCs w:val="28"/>
        </w:rPr>
        <w:t>Der Dienstbarkeitsnehmer nimmt diese Rechtseinräumung hiermit an.</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numPr>
          <w:ilvl w:val="0"/>
          <w:numId w:val="13"/>
        </w:numPr>
        <w:jc w:val="center"/>
        <w:rPr>
          <w:b/>
          <w:sz w:val="28"/>
          <w:szCs w:val="28"/>
        </w:rPr>
      </w:pPr>
      <w:r>
        <w:rPr>
          <w:b/>
          <w:sz w:val="28"/>
          <w:szCs w:val="28"/>
        </w:rPr>
        <w:t>Rä</w:t>
      </w:r>
      <w:r>
        <w:rPr>
          <w:b/>
          <w:sz w:val="28"/>
          <w:szCs w:val="28"/>
        </w:rPr>
        <w:t>umungserfordernis</w:t>
      </w:r>
    </w:p>
    <w:p w:rsidR="00A01404" w:rsidRDefault="00A01404">
      <w:pPr>
        <w:pStyle w:val="Default"/>
        <w:ind w:left="426"/>
        <w:jc w:val="both"/>
        <w:rPr>
          <w:sz w:val="28"/>
          <w:szCs w:val="28"/>
        </w:rPr>
      </w:pPr>
    </w:p>
    <w:p w:rsidR="00A01404" w:rsidRDefault="00552F41">
      <w:pPr>
        <w:pStyle w:val="Default"/>
        <w:rPr>
          <w:sz w:val="28"/>
          <w:szCs w:val="28"/>
        </w:rPr>
      </w:pPr>
      <w:r>
        <w:rPr>
          <w:sz w:val="28"/>
          <w:szCs w:val="28"/>
        </w:rPr>
        <w:t xml:space="preserve">Ein Räumungserfordernis ist ausschließlich gegeben, wenn </w:t>
      </w:r>
    </w:p>
    <w:p w:rsidR="00A01404" w:rsidRDefault="00A01404">
      <w:pPr>
        <w:pStyle w:val="Default"/>
        <w:rPr>
          <w:sz w:val="28"/>
          <w:szCs w:val="28"/>
        </w:rPr>
      </w:pPr>
    </w:p>
    <w:p w:rsidR="00A01404" w:rsidRDefault="00552F41">
      <w:pPr>
        <w:pStyle w:val="Default"/>
        <w:numPr>
          <w:ilvl w:val="0"/>
          <w:numId w:val="6"/>
        </w:numPr>
        <w:spacing w:after="27"/>
        <w:rPr>
          <w:sz w:val="28"/>
          <w:szCs w:val="28"/>
        </w:rPr>
      </w:pPr>
      <w:r>
        <w:rPr>
          <w:sz w:val="28"/>
          <w:szCs w:val="28"/>
        </w:rPr>
        <w:t xml:space="preserve">wegen Gefahr in Verzug oder in Folge von Aufräumungsarbeiten eine </w:t>
      </w:r>
      <w:r>
        <w:rPr>
          <w:sz w:val="28"/>
          <w:szCs w:val="28"/>
          <w:u w:val="single"/>
        </w:rPr>
        <w:t>Anordnung</w:t>
      </w:r>
      <w:r>
        <w:rPr>
          <w:sz w:val="28"/>
          <w:szCs w:val="28"/>
        </w:rPr>
        <w:t xml:space="preserve"> der zuständigen Bezirksverwaltungsbehörde </w:t>
      </w:r>
    </w:p>
    <w:p w:rsidR="00A01404" w:rsidRDefault="00552F41">
      <w:pPr>
        <w:pStyle w:val="Default"/>
        <w:spacing w:after="27"/>
        <w:ind w:left="1080"/>
        <w:rPr>
          <w:sz w:val="28"/>
          <w:szCs w:val="28"/>
        </w:rPr>
      </w:pPr>
      <w:r>
        <w:rPr>
          <w:sz w:val="28"/>
          <w:szCs w:val="28"/>
        </w:rPr>
        <w:t xml:space="preserve">oder </w:t>
      </w:r>
    </w:p>
    <w:p w:rsidR="00A01404" w:rsidRDefault="00552F41">
      <w:pPr>
        <w:pStyle w:val="Default"/>
        <w:numPr>
          <w:ilvl w:val="0"/>
          <w:numId w:val="6"/>
        </w:numPr>
        <w:rPr>
          <w:sz w:val="28"/>
          <w:szCs w:val="28"/>
        </w:rPr>
      </w:pPr>
      <w:r>
        <w:rPr>
          <w:sz w:val="28"/>
          <w:szCs w:val="28"/>
        </w:rPr>
        <w:t xml:space="preserve">eine entsprechende </w:t>
      </w:r>
      <w:r>
        <w:rPr>
          <w:sz w:val="28"/>
          <w:szCs w:val="28"/>
          <w:u w:val="single"/>
        </w:rPr>
        <w:t>Beurteilung eines Sachverständigen</w:t>
      </w:r>
      <w:r>
        <w:rPr>
          <w:sz w:val="28"/>
          <w:szCs w:val="28"/>
          <w:u w:val="single"/>
        </w:rPr>
        <w:t xml:space="preserve"> der Wildbach- und Lawinenverbauung</w:t>
      </w:r>
      <w:r>
        <w:rPr>
          <w:sz w:val="28"/>
          <w:szCs w:val="28"/>
        </w:rPr>
        <w:t xml:space="preserve"> über die Notwendigkeit einer Räumung  zur Aufrechterhaltung der Funktionstüchtigkeit von Wildbachsperren vorliegt.</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numPr>
          <w:ilvl w:val="0"/>
          <w:numId w:val="13"/>
        </w:numPr>
        <w:rPr>
          <w:sz w:val="28"/>
          <w:szCs w:val="28"/>
        </w:rPr>
      </w:pPr>
      <w:r>
        <w:rPr>
          <w:b/>
          <w:bCs/>
          <w:sz w:val="28"/>
          <w:szCs w:val="28"/>
        </w:rPr>
        <w:t>Verwaltungsrechtliche Voraussetzungen für das Ablagern:</w:t>
      </w:r>
    </w:p>
    <w:p w:rsidR="00A01404" w:rsidRDefault="00A01404">
      <w:pPr>
        <w:pStyle w:val="Default"/>
        <w:rPr>
          <w:sz w:val="28"/>
          <w:szCs w:val="28"/>
        </w:rPr>
      </w:pPr>
    </w:p>
    <w:p w:rsidR="00A01404" w:rsidRDefault="00552F41">
      <w:pPr>
        <w:pStyle w:val="Default"/>
        <w:rPr>
          <w:sz w:val="28"/>
          <w:szCs w:val="28"/>
        </w:rPr>
      </w:pPr>
      <w:r>
        <w:rPr>
          <w:sz w:val="28"/>
          <w:szCs w:val="28"/>
        </w:rPr>
        <w:t>Die verwaltungsrechtlichen Voraussetzungen für</w:t>
      </w:r>
      <w:r>
        <w:rPr>
          <w:sz w:val="28"/>
          <w:szCs w:val="28"/>
        </w:rPr>
        <w:t xml:space="preserve"> das Ablagern von Material aus Räumungsarbeiten wie in der Präambel dargestellt sind gegeben, wenn </w:t>
      </w:r>
    </w:p>
    <w:p w:rsidR="00A01404" w:rsidRDefault="00552F41">
      <w:pPr>
        <w:pStyle w:val="Default"/>
        <w:numPr>
          <w:ilvl w:val="0"/>
          <w:numId w:val="7"/>
        </w:numPr>
        <w:spacing w:after="30"/>
        <w:rPr>
          <w:sz w:val="28"/>
          <w:szCs w:val="28"/>
        </w:rPr>
      </w:pPr>
      <w:r>
        <w:rPr>
          <w:sz w:val="28"/>
          <w:szCs w:val="28"/>
        </w:rPr>
        <w:t>bei Wildbachgräben eine sedimentpetrographische Beurteilung oder eine Räumgutbeprobung (z.B. durch das Amt der Salzburger Landesregierung) vorliegt, der zuf</w:t>
      </w:r>
      <w:r>
        <w:rPr>
          <w:sz w:val="28"/>
          <w:szCs w:val="28"/>
        </w:rPr>
        <w:t xml:space="preserve">olge das Material Bodenaushubqualität lt. Fußnote 1 aufweist und die umwelttechnische Eignung des Materials für die Ablagerung bzw. Verwertung bestätigt wird , </w:t>
      </w:r>
      <w:r>
        <w:rPr>
          <w:rStyle w:val="Funotenzeichen"/>
          <w:rFonts w:cs="Calibri"/>
          <w:sz w:val="28"/>
          <w:szCs w:val="28"/>
        </w:rPr>
        <w:footnoteReference w:id="1"/>
      </w:r>
      <w:r>
        <w:rPr>
          <w:sz w:val="28"/>
          <w:szCs w:val="28"/>
        </w:rPr>
        <w:t xml:space="preserve"> oder</w:t>
      </w:r>
    </w:p>
    <w:p w:rsidR="00A01404" w:rsidRDefault="00552F41">
      <w:pPr>
        <w:pStyle w:val="Default"/>
        <w:numPr>
          <w:ilvl w:val="0"/>
          <w:numId w:val="7"/>
        </w:numPr>
        <w:spacing w:after="30"/>
        <w:rPr>
          <w:sz w:val="28"/>
          <w:szCs w:val="28"/>
        </w:rPr>
      </w:pPr>
      <w:r>
        <w:rPr>
          <w:sz w:val="28"/>
          <w:szCs w:val="28"/>
        </w:rPr>
        <w:t xml:space="preserve">bei Muren- und Lawinenabgängen sowie bei Sedimentmaterial eine aktuelle </w:t>
      </w:r>
      <w:r>
        <w:rPr>
          <w:sz w:val="28"/>
          <w:szCs w:val="28"/>
        </w:rPr>
        <w:t>Materialbeurteilung vorliegt, welche die Bodenaushubqualität gem. Fußnote 1 bestätigt, und</w:t>
      </w:r>
    </w:p>
    <w:p w:rsidR="00A01404" w:rsidRDefault="00552F41">
      <w:pPr>
        <w:pStyle w:val="Default"/>
        <w:numPr>
          <w:ilvl w:val="0"/>
          <w:numId w:val="7"/>
        </w:numPr>
        <w:rPr>
          <w:sz w:val="28"/>
          <w:szCs w:val="28"/>
        </w:rPr>
      </w:pPr>
      <w:r>
        <w:rPr>
          <w:sz w:val="28"/>
          <w:szCs w:val="28"/>
        </w:rPr>
        <w:t xml:space="preserve">die potentiellen Ablagerungs- bzw. Verwertungsflächen der zuständigen Bezirksverwaltungsbehörde gemeldet werden, und vor Abschluss der gegenständlichen Vereinbarung </w:t>
      </w:r>
      <w:r>
        <w:rPr>
          <w:sz w:val="28"/>
          <w:szCs w:val="28"/>
        </w:rPr>
        <w:t xml:space="preserve">eine positive Vorprüfung nach dem Sbg. NSchG, dem WRG, dem ForstG und dem AWG 2002 erfolgt ist, welche eine Zulässigkeit des Ablagerungs- bzw. Verwertungsvorganges belegt. </w:t>
      </w:r>
    </w:p>
    <w:p w:rsidR="00A01404" w:rsidRDefault="00A01404">
      <w:pPr>
        <w:pStyle w:val="Default"/>
        <w:ind w:left="720"/>
        <w:rPr>
          <w:sz w:val="28"/>
          <w:szCs w:val="28"/>
        </w:rPr>
      </w:pPr>
    </w:p>
    <w:p w:rsidR="00A01404" w:rsidRDefault="00A01404">
      <w:pPr>
        <w:pStyle w:val="Default"/>
        <w:rPr>
          <w:sz w:val="28"/>
          <w:szCs w:val="28"/>
        </w:rPr>
      </w:pPr>
    </w:p>
    <w:p w:rsidR="00A01404" w:rsidRDefault="00552F41">
      <w:pPr>
        <w:pStyle w:val="Default"/>
        <w:rPr>
          <w:sz w:val="28"/>
          <w:szCs w:val="28"/>
        </w:rPr>
      </w:pPr>
      <w:r>
        <w:rPr>
          <w:b/>
          <w:bCs/>
          <w:sz w:val="28"/>
          <w:szCs w:val="28"/>
        </w:rPr>
        <w:t xml:space="preserve">IV. Pflichten des Dienstbarkeitsnehmers </w:t>
      </w:r>
    </w:p>
    <w:p w:rsidR="00A01404" w:rsidRDefault="00A01404">
      <w:pPr>
        <w:pStyle w:val="Default"/>
        <w:rPr>
          <w:sz w:val="28"/>
          <w:szCs w:val="28"/>
        </w:rPr>
      </w:pPr>
    </w:p>
    <w:p w:rsidR="00A01404" w:rsidRDefault="00552F41">
      <w:pPr>
        <w:pStyle w:val="Default"/>
        <w:numPr>
          <w:ilvl w:val="0"/>
          <w:numId w:val="14"/>
        </w:numPr>
        <w:rPr>
          <w:sz w:val="28"/>
          <w:szCs w:val="28"/>
        </w:rPr>
      </w:pPr>
      <w:r>
        <w:rPr>
          <w:sz w:val="28"/>
          <w:szCs w:val="28"/>
        </w:rPr>
        <w:t>Es darf ausschließlich nicht kontaminie</w:t>
      </w:r>
      <w:r>
        <w:rPr>
          <w:sz w:val="28"/>
          <w:szCs w:val="28"/>
        </w:rPr>
        <w:t xml:space="preserve">rtes Material mit Bodenaushubqualität gem. Fußnote 1 aus den in der Präambel dargestellten Räumungsmaßnahmen deponiert werden. Eine Bestätigung bzw. Anordnung gem. Pkt. II muss vorliegen. Diese ist dem Grundeigentümer vorzulegen. </w:t>
      </w:r>
    </w:p>
    <w:p w:rsidR="00A01404" w:rsidRDefault="00A01404">
      <w:pPr>
        <w:pStyle w:val="Default"/>
        <w:rPr>
          <w:sz w:val="28"/>
          <w:szCs w:val="28"/>
        </w:rPr>
      </w:pPr>
    </w:p>
    <w:p w:rsidR="00A01404" w:rsidRDefault="00552F41">
      <w:pPr>
        <w:pStyle w:val="Default"/>
        <w:numPr>
          <w:ilvl w:val="0"/>
          <w:numId w:val="14"/>
        </w:numPr>
        <w:rPr>
          <w:sz w:val="28"/>
          <w:szCs w:val="28"/>
        </w:rPr>
      </w:pPr>
      <w:r>
        <w:rPr>
          <w:sz w:val="28"/>
          <w:szCs w:val="28"/>
        </w:rPr>
        <w:t>Die Rekultivierung hat s</w:t>
      </w:r>
      <w:r>
        <w:rPr>
          <w:sz w:val="28"/>
          <w:szCs w:val="28"/>
        </w:rPr>
        <w:t xml:space="preserve">ofort nach Abschluss der Aufschüttungsmaßnahmen nach den Richtlinien für die sachgerechte Bodenrekultivierung land- und forstwirtschaftlicher Flächen des Bundes, BMLFUW, Ausgabe 2012, zu erfolgen. Dies gilt auch dann, wenn nicht die gesamte Vertragsfläche </w:t>
      </w:r>
      <w:r>
        <w:rPr>
          <w:sz w:val="28"/>
          <w:szCs w:val="28"/>
        </w:rPr>
        <w:t xml:space="preserve">in Anspruch genommen wird (Zug um Zug – Rekultivierung). Eine durch eine bloße Teilinanspruchnahme sich ergebende Wirtschaftserschwernis ist dem Grundeigentümer abzugelten. </w:t>
      </w:r>
    </w:p>
    <w:p w:rsidR="00A01404" w:rsidRDefault="00A01404">
      <w:pPr>
        <w:pStyle w:val="Default"/>
        <w:rPr>
          <w:sz w:val="28"/>
          <w:szCs w:val="28"/>
        </w:rPr>
      </w:pPr>
    </w:p>
    <w:p w:rsidR="00A01404" w:rsidRDefault="00552F41">
      <w:pPr>
        <w:pStyle w:val="Default"/>
        <w:numPr>
          <w:ilvl w:val="0"/>
          <w:numId w:val="14"/>
        </w:numPr>
        <w:rPr>
          <w:sz w:val="28"/>
          <w:szCs w:val="28"/>
        </w:rPr>
      </w:pPr>
      <w:r>
        <w:rPr>
          <w:sz w:val="28"/>
          <w:szCs w:val="28"/>
        </w:rPr>
        <w:t>Der Dienstbarkeitsnehmer verpflichtet sich die erforderlichen Bewilligungen und G</w:t>
      </w:r>
      <w:r>
        <w:rPr>
          <w:sz w:val="28"/>
          <w:szCs w:val="28"/>
        </w:rPr>
        <w:t>enehmigungen (so etwa die naturschutzrechtliche, wasserrechtliche abfallwirtschaftliche, forstrechtliche Bewilligung bzw. Genehmigung für die Lagerung) unter Beilage der erforderlichen Projektsunterlagen auf seine Kosten bei der der örtlich und sachlich zu</w:t>
      </w:r>
      <w:r>
        <w:rPr>
          <w:sz w:val="28"/>
          <w:szCs w:val="28"/>
        </w:rPr>
        <w:t>ständigen Behörde zu beantragen.</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rPr>
          <w:sz w:val="28"/>
          <w:szCs w:val="28"/>
        </w:rPr>
      </w:pPr>
      <w:r>
        <w:rPr>
          <w:b/>
          <w:bCs/>
          <w:sz w:val="28"/>
          <w:szCs w:val="28"/>
        </w:rPr>
        <w:t xml:space="preserve">V. Pflichten des Dienstbarkeitsgebers </w:t>
      </w:r>
    </w:p>
    <w:p w:rsidR="00A01404" w:rsidRDefault="00A01404">
      <w:pPr>
        <w:pStyle w:val="Default"/>
        <w:rPr>
          <w:sz w:val="28"/>
          <w:szCs w:val="28"/>
        </w:rPr>
      </w:pPr>
    </w:p>
    <w:p w:rsidR="00A01404" w:rsidRDefault="00552F41">
      <w:pPr>
        <w:pStyle w:val="Default"/>
        <w:numPr>
          <w:ilvl w:val="0"/>
          <w:numId w:val="15"/>
        </w:numPr>
        <w:rPr>
          <w:sz w:val="28"/>
          <w:szCs w:val="28"/>
        </w:rPr>
      </w:pPr>
      <w:r>
        <w:rPr>
          <w:sz w:val="28"/>
          <w:szCs w:val="28"/>
        </w:rPr>
        <w:t>Der Dienstbarkeitsgeber ist verpflichtet, die Fläche jederzeit für den oben genannten Zweck zur Verfügung zu stellen, d.h. auch zur Unzeit (beispielsweise wenn auf einer Mähfläche e</w:t>
      </w:r>
      <w:r>
        <w:rPr>
          <w:sz w:val="28"/>
          <w:szCs w:val="28"/>
        </w:rPr>
        <w:t xml:space="preserve">in hoher Futteraufwuchs steht). Durch eine möglichst frühzeitige Information durch den Dienstbarkeitsnehmer soll die Möglichkeit geschaffen werden, dass die Fläche noch gemäht wird. Dem erforderlichen  Ablagerungs- bzw. Verwertungsvorgang ist jedoch unter </w:t>
      </w:r>
      <w:r>
        <w:rPr>
          <w:sz w:val="28"/>
          <w:szCs w:val="28"/>
        </w:rPr>
        <w:t xml:space="preserve">Beachtung des erforderlichen Zeitdrucks der Vorrang gegenüber der landwirtschaftlichen Nutzung einzuräumen. </w:t>
      </w:r>
    </w:p>
    <w:p w:rsidR="00A01404" w:rsidRDefault="00552F41">
      <w:pPr>
        <w:pStyle w:val="Default"/>
        <w:numPr>
          <w:ilvl w:val="0"/>
          <w:numId w:val="15"/>
        </w:numPr>
        <w:rPr>
          <w:sz w:val="28"/>
          <w:szCs w:val="28"/>
        </w:rPr>
      </w:pPr>
      <w:r>
        <w:rPr>
          <w:sz w:val="28"/>
          <w:szCs w:val="28"/>
        </w:rPr>
        <w:t xml:space="preserve">Der Dienstbarkeitsgeber verpflichtet sich den Dienstbarkeitsnehmer zu unterstützen. Insbesondere verpflichtet er sich für die erforderlichen </w:t>
      </w:r>
      <w:r>
        <w:rPr>
          <w:sz w:val="28"/>
          <w:szCs w:val="28"/>
        </w:rPr>
        <w:t>Genehmigungs- und Bewilligungsverfahren im Zusammenhang mit der Ablagerung seine ausdrückliche und unwiderrufliche Zustimmung zu geben und keinerlei Einwendungen und Rechtsmittel gegen erteilte Bewilligungen und Genehmigungen zu erheben.</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rPr>
          <w:sz w:val="28"/>
          <w:szCs w:val="28"/>
        </w:rPr>
      </w:pPr>
      <w:r>
        <w:rPr>
          <w:b/>
          <w:bCs/>
          <w:sz w:val="28"/>
          <w:szCs w:val="28"/>
        </w:rPr>
        <w:t>VI. Pflichten de</w:t>
      </w:r>
      <w:r>
        <w:rPr>
          <w:b/>
          <w:bCs/>
          <w:sz w:val="28"/>
          <w:szCs w:val="28"/>
        </w:rPr>
        <w:t xml:space="preserve">s Dienstbarkeitsnehmers und des Dienstbarkeitsgebers  </w:t>
      </w:r>
    </w:p>
    <w:p w:rsidR="00A01404" w:rsidRDefault="00A01404">
      <w:pPr>
        <w:pStyle w:val="Default"/>
        <w:rPr>
          <w:sz w:val="28"/>
          <w:szCs w:val="28"/>
        </w:rPr>
      </w:pPr>
    </w:p>
    <w:p w:rsidR="00A01404" w:rsidRDefault="00552F41">
      <w:pPr>
        <w:pStyle w:val="Default"/>
        <w:rPr>
          <w:sz w:val="28"/>
          <w:szCs w:val="28"/>
        </w:rPr>
      </w:pPr>
      <w:r>
        <w:rPr>
          <w:sz w:val="28"/>
          <w:szCs w:val="28"/>
        </w:rPr>
        <w:t>Material, das nicht aus den in der Präambel genannten Anlassfällen stammt, auch wenn es sich um nicht kontaminierten Bodenaushub handelt, oder anderes Material darf nicht abgelagert werden. Jedenfalls</w:t>
      </w:r>
      <w:r>
        <w:rPr>
          <w:sz w:val="28"/>
          <w:szCs w:val="28"/>
        </w:rPr>
        <w:t xml:space="preserve"> ausgeschlossen ist jede Art von gewerblicher Nutzung (zB. Deponierung). </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rPr>
          <w:sz w:val="28"/>
          <w:szCs w:val="28"/>
        </w:rPr>
      </w:pPr>
      <w:r>
        <w:rPr>
          <w:b/>
          <w:bCs/>
          <w:sz w:val="28"/>
          <w:szCs w:val="28"/>
        </w:rPr>
        <w:t xml:space="preserve">VII. Laufzeit </w:t>
      </w:r>
    </w:p>
    <w:p w:rsidR="00A01404" w:rsidRDefault="00A01404">
      <w:pPr>
        <w:pStyle w:val="Default"/>
        <w:rPr>
          <w:sz w:val="28"/>
          <w:szCs w:val="28"/>
        </w:rPr>
      </w:pPr>
    </w:p>
    <w:p w:rsidR="00A01404" w:rsidRDefault="00552F41">
      <w:pPr>
        <w:pStyle w:val="Default"/>
        <w:rPr>
          <w:sz w:val="28"/>
          <w:szCs w:val="28"/>
        </w:rPr>
      </w:pPr>
      <w:r>
        <w:rPr>
          <w:sz w:val="28"/>
          <w:szCs w:val="28"/>
        </w:rPr>
        <w:t>Die gegenständliche Dienstbarkeitseinräumung beginnt rückwirkend mit dem Datum des Kostenanerkennungsstichtages der bewilligenden Stelle „Landesforstdirektion Salzb</w:t>
      </w:r>
      <w:r>
        <w:rPr>
          <w:sz w:val="28"/>
          <w:szCs w:val="28"/>
        </w:rPr>
        <w:t>urg“ auf Grund des Förderantrages und endet frühestens am  30.06.2023. Rechtsgültig wird diese mit Vertragsunterzeichnung durch die Vertragspartner.</w:t>
      </w:r>
    </w:p>
    <w:p w:rsidR="00A01404" w:rsidRDefault="00A01404">
      <w:pPr>
        <w:pStyle w:val="Default"/>
        <w:rPr>
          <w:sz w:val="28"/>
          <w:szCs w:val="28"/>
        </w:rPr>
      </w:pPr>
    </w:p>
    <w:p w:rsidR="00A01404" w:rsidRDefault="00552F41">
      <w:pPr>
        <w:pStyle w:val="Default"/>
        <w:rPr>
          <w:sz w:val="28"/>
          <w:szCs w:val="28"/>
        </w:rPr>
      </w:pPr>
      <w:r>
        <w:rPr>
          <w:sz w:val="28"/>
          <w:szCs w:val="28"/>
        </w:rPr>
        <w:t>Die Laufzeit der Vereinbarung kann von beiden Vertragsparteien unter Einhaltung einer dreimonatigen Kündig</w:t>
      </w:r>
      <w:r>
        <w:rPr>
          <w:sz w:val="28"/>
          <w:szCs w:val="28"/>
        </w:rPr>
        <w:t xml:space="preserve">ungsfrist jeweils zum 31.10. eines jeden Jahres gekündigt werden. </w:t>
      </w:r>
    </w:p>
    <w:p w:rsidR="00A01404" w:rsidRDefault="00A01404">
      <w:pPr>
        <w:pStyle w:val="Default"/>
        <w:rPr>
          <w:sz w:val="28"/>
          <w:szCs w:val="28"/>
        </w:rPr>
      </w:pPr>
    </w:p>
    <w:p w:rsidR="00A01404" w:rsidRDefault="00552F41">
      <w:pPr>
        <w:pStyle w:val="Default"/>
        <w:rPr>
          <w:sz w:val="28"/>
          <w:szCs w:val="28"/>
        </w:rPr>
      </w:pPr>
      <w:r>
        <w:rPr>
          <w:sz w:val="28"/>
          <w:szCs w:val="28"/>
        </w:rPr>
        <w:t>Der Grundeigentümer verzichtet jedoch bis zum 30.06.2023 auf eine Kündigung, sodass der Vertrag von ihm erstmals nach dem 30.06.2023 gekündigt werden kann.</w:t>
      </w:r>
    </w:p>
    <w:p w:rsidR="00A01404" w:rsidRDefault="00A01404">
      <w:pPr>
        <w:pStyle w:val="Default"/>
        <w:rPr>
          <w:sz w:val="28"/>
          <w:szCs w:val="28"/>
        </w:rPr>
      </w:pPr>
    </w:p>
    <w:p w:rsidR="00A01404" w:rsidRDefault="00552F41">
      <w:pPr>
        <w:pStyle w:val="Default"/>
        <w:rPr>
          <w:sz w:val="28"/>
          <w:szCs w:val="28"/>
        </w:rPr>
      </w:pPr>
      <w:r>
        <w:rPr>
          <w:sz w:val="28"/>
          <w:szCs w:val="28"/>
        </w:rPr>
        <w:t>Mit Aufkündigung dieser Vereinb</w:t>
      </w:r>
      <w:r>
        <w:rPr>
          <w:sz w:val="28"/>
          <w:szCs w:val="28"/>
        </w:rPr>
        <w:t xml:space="preserve">arung erlischt auch die Dienstbarkeitseinräumung. </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spacing w:after="18"/>
        <w:rPr>
          <w:sz w:val="28"/>
          <w:szCs w:val="28"/>
        </w:rPr>
      </w:pPr>
      <w:r>
        <w:rPr>
          <w:b/>
          <w:bCs/>
          <w:sz w:val="28"/>
          <w:szCs w:val="28"/>
        </w:rPr>
        <w:t>VIII. Entschädigungen</w:t>
      </w:r>
    </w:p>
    <w:p w:rsidR="00A01404" w:rsidRDefault="00A01404">
      <w:pPr>
        <w:pStyle w:val="Default"/>
        <w:rPr>
          <w:sz w:val="28"/>
          <w:szCs w:val="28"/>
        </w:rPr>
      </w:pPr>
    </w:p>
    <w:p w:rsidR="00A01404" w:rsidRDefault="00552F41">
      <w:pPr>
        <w:pStyle w:val="Default"/>
        <w:rPr>
          <w:sz w:val="28"/>
          <w:szCs w:val="28"/>
        </w:rPr>
      </w:pPr>
      <w:r>
        <w:rPr>
          <w:sz w:val="28"/>
          <w:szCs w:val="28"/>
        </w:rPr>
        <w:t>a. Dem Dienstbarkeitsgeber gebührt ein einmaliges Dienstbarkeitsentgelt für die Vertragslaufzeit.</w:t>
      </w:r>
    </w:p>
    <w:p w:rsidR="00A01404" w:rsidRDefault="00552F41">
      <w:pPr>
        <w:pStyle w:val="Default"/>
        <w:spacing w:after="15"/>
        <w:rPr>
          <w:sz w:val="28"/>
          <w:szCs w:val="28"/>
        </w:rPr>
      </w:pPr>
      <w:r>
        <w:rPr>
          <w:sz w:val="28"/>
          <w:szCs w:val="28"/>
        </w:rPr>
        <w:t>Das auszuzahlende Dienstbarkeitsentgelt in EUR je m² ist der Tabelle (Spalte 2) im</w:t>
      </w:r>
      <w:r>
        <w:rPr>
          <w:sz w:val="28"/>
          <w:szCs w:val="28"/>
        </w:rPr>
        <w:t xml:space="preserve"> Anhang zu entnehmen.</w:t>
      </w:r>
    </w:p>
    <w:p w:rsidR="00A01404" w:rsidRDefault="00A01404">
      <w:pPr>
        <w:pStyle w:val="Default"/>
        <w:rPr>
          <w:sz w:val="28"/>
          <w:szCs w:val="28"/>
        </w:rPr>
      </w:pPr>
    </w:p>
    <w:p w:rsidR="00A01404" w:rsidRDefault="00552F41">
      <w:pPr>
        <w:pStyle w:val="Default"/>
        <w:rPr>
          <w:sz w:val="28"/>
          <w:szCs w:val="28"/>
        </w:rPr>
      </w:pPr>
      <w:r>
        <w:rPr>
          <w:sz w:val="28"/>
          <w:szCs w:val="28"/>
        </w:rPr>
        <w:t>Das Dienstbarkeitsentgelt wird nach Vertragsunterzeichnung für die gesamte Projektlaufzeit fällig und ist binnen …… Wochen an den Dienstbarkeitsgeber auf folgendes Konto auszuzahlen:</w:t>
      </w:r>
    </w:p>
    <w:p w:rsidR="00A01404" w:rsidRDefault="00A01404">
      <w:pPr>
        <w:pStyle w:val="Default"/>
        <w:rPr>
          <w:sz w:val="28"/>
          <w:szCs w:val="28"/>
        </w:rPr>
      </w:pPr>
    </w:p>
    <w:p w:rsidR="00A01404" w:rsidRDefault="00552F41">
      <w:pPr>
        <w:pStyle w:val="Default"/>
        <w:rPr>
          <w:sz w:val="28"/>
          <w:szCs w:val="28"/>
        </w:rPr>
      </w:pPr>
      <w:r>
        <w:rPr>
          <w:sz w:val="28"/>
          <w:szCs w:val="28"/>
        </w:rPr>
        <w:t>IBAN, BIC, Kontoinhaber:</w:t>
      </w:r>
    </w:p>
    <w:p w:rsidR="00A01404" w:rsidRDefault="00A01404">
      <w:pPr>
        <w:pStyle w:val="Default"/>
        <w:rPr>
          <w:sz w:val="28"/>
          <w:szCs w:val="28"/>
        </w:rPr>
      </w:pP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rPr>
          <w:sz w:val="28"/>
          <w:szCs w:val="28"/>
        </w:rPr>
      </w:pPr>
      <w:r>
        <w:rPr>
          <w:sz w:val="28"/>
          <w:szCs w:val="28"/>
        </w:rPr>
        <w:t xml:space="preserve">b. Im Fall der Inanspruchnahme der Fläche gebührt dem Dienstbarkeitsgeber ein Nutzungsentgelt von € 2/m², vermindert um das jährl. Dienstbarkeitsentgelt für die Flächenreservierung vom Nutzungszeitpunkt bis Vertragsende. </w:t>
      </w:r>
    </w:p>
    <w:p w:rsidR="00A01404" w:rsidRDefault="00552F41">
      <w:pPr>
        <w:pStyle w:val="Default"/>
        <w:spacing w:after="15"/>
        <w:rPr>
          <w:sz w:val="28"/>
          <w:szCs w:val="28"/>
        </w:rPr>
      </w:pPr>
      <w:r>
        <w:rPr>
          <w:sz w:val="28"/>
          <w:szCs w:val="28"/>
        </w:rPr>
        <w:t xml:space="preserve">Das auszuzahlende Nutzungsentgelt </w:t>
      </w:r>
      <w:r>
        <w:rPr>
          <w:sz w:val="28"/>
          <w:szCs w:val="28"/>
        </w:rPr>
        <w:t>in EUR je m² ist der Tabelle (Spalte 3) im Anhang zu entnehmen.</w:t>
      </w:r>
    </w:p>
    <w:p w:rsidR="00A01404" w:rsidRDefault="00552F41">
      <w:pPr>
        <w:pStyle w:val="Default"/>
        <w:rPr>
          <w:sz w:val="28"/>
          <w:szCs w:val="28"/>
        </w:rPr>
      </w:pPr>
      <w:r>
        <w:rPr>
          <w:sz w:val="28"/>
          <w:szCs w:val="28"/>
        </w:rPr>
        <w:t>Das Nutzungsentgelt ist nach Aufmessung der tatsächlich in Anspruch genommenen Deponiefläche jedoch spätestens …… Monate nach Deponiebeginn fällig und ist binnen …… Wochen auf das o.a. Konto d</w:t>
      </w:r>
      <w:r>
        <w:rPr>
          <w:sz w:val="28"/>
          <w:szCs w:val="28"/>
        </w:rPr>
        <w:t>es  Dienstbarkeitsgebers auszuzahlen.</w:t>
      </w:r>
    </w:p>
    <w:p w:rsidR="00A01404" w:rsidRDefault="00A01404">
      <w:pPr>
        <w:pStyle w:val="Default"/>
        <w:rPr>
          <w:sz w:val="28"/>
          <w:szCs w:val="28"/>
        </w:rPr>
      </w:pPr>
    </w:p>
    <w:p w:rsidR="00A01404" w:rsidRDefault="00A01404">
      <w:pPr>
        <w:pStyle w:val="Default"/>
        <w:spacing w:after="15"/>
        <w:rPr>
          <w:sz w:val="28"/>
          <w:szCs w:val="28"/>
        </w:rPr>
      </w:pPr>
    </w:p>
    <w:p w:rsidR="00A01404" w:rsidRDefault="00552F41">
      <w:pPr>
        <w:pStyle w:val="Default"/>
        <w:rPr>
          <w:sz w:val="28"/>
          <w:szCs w:val="28"/>
        </w:rPr>
      </w:pPr>
      <w:r>
        <w:rPr>
          <w:sz w:val="28"/>
          <w:szCs w:val="28"/>
        </w:rPr>
        <w:t>c. Im Fall der Inanspruchnahme gebührt dem Dienstbarkeitsgeber die Abgeltung des Flurschadens nach den Richtlinien der Kammer für Land- und Forstwirtschaft in Salzburg. Dieser ist so lange (allenfalls anteilig) zu en</w:t>
      </w:r>
      <w:r>
        <w:rPr>
          <w:sz w:val="28"/>
          <w:szCs w:val="28"/>
        </w:rPr>
        <w:t xml:space="preserve">trichten, als ein solcher auftritt. </w:t>
      </w:r>
    </w:p>
    <w:p w:rsidR="00A01404" w:rsidRDefault="00A01404">
      <w:pPr>
        <w:pStyle w:val="Default"/>
        <w:rPr>
          <w:sz w:val="28"/>
          <w:szCs w:val="28"/>
        </w:rPr>
      </w:pPr>
    </w:p>
    <w:p w:rsidR="00A01404" w:rsidRDefault="00552F41">
      <w:pPr>
        <w:pStyle w:val="Default"/>
        <w:rPr>
          <w:sz w:val="28"/>
          <w:szCs w:val="28"/>
        </w:rPr>
      </w:pPr>
      <w:r>
        <w:rPr>
          <w:sz w:val="28"/>
          <w:szCs w:val="28"/>
        </w:rPr>
        <w:t>d. Im Fall der Inanspruchnahme gebührt dem Dienstbarkeitsgeber die Abgeltung des Wertes von nicht mehr einbringbarem Futteraufwuchs (siehe Pkt. 5)  gemäß den Richtlinien der Kammer für Land- und Forstwirtschaft in Salz</w:t>
      </w:r>
      <w:r>
        <w:rPr>
          <w:sz w:val="28"/>
          <w:szCs w:val="28"/>
        </w:rPr>
        <w:t xml:space="preserve">burg. </w:t>
      </w:r>
    </w:p>
    <w:p w:rsidR="00A01404" w:rsidRDefault="00A01404">
      <w:pPr>
        <w:pStyle w:val="Default"/>
        <w:rPr>
          <w:sz w:val="28"/>
          <w:szCs w:val="28"/>
        </w:rPr>
      </w:pPr>
    </w:p>
    <w:p w:rsidR="00A01404" w:rsidRDefault="00552F41">
      <w:pPr>
        <w:pStyle w:val="Default"/>
        <w:rPr>
          <w:sz w:val="28"/>
          <w:szCs w:val="28"/>
        </w:rPr>
      </w:pPr>
      <w:r>
        <w:rPr>
          <w:sz w:val="28"/>
          <w:szCs w:val="28"/>
        </w:rPr>
        <w:t>e. Sollte es für den Dienstbarkeitsgeber durch die Flächeninanspruchnahme zu Förderungsrückzahlungen für den landwirtschaftlichen Betrieb kommen (beispielweise weil das Vorliegen des öffentlichen Interesses nicht anerkannt wird), so ist der Dienstb</w:t>
      </w:r>
      <w:r>
        <w:rPr>
          <w:sz w:val="28"/>
          <w:szCs w:val="28"/>
        </w:rPr>
        <w:t xml:space="preserve">arkeitsgeber diesbezüglich vom Dienstbarkeitsnehmer schadlos zu halten. Der Dienstbarkeitsgeber hat im Gegenzug alle erforderlichen Schritte zu setzen, um allfällige derartige Rückzahlungsverpflichtungen zu vermeiden. </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rPr>
          <w:sz w:val="28"/>
          <w:szCs w:val="28"/>
        </w:rPr>
      </w:pPr>
      <w:r>
        <w:rPr>
          <w:b/>
          <w:bCs/>
          <w:sz w:val="28"/>
          <w:szCs w:val="28"/>
        </w:rPr>
        <w:t>XI. Haftungen</w:t>
      </w:r>
    </w:p>
    <w:p w:rsidR="00A01404" w:rsidRDefault="00A01404">
      <w:pPr>
        <w:pStyle w:val="Default"/>
        <w:rPr>
          <w:sz w:val="28"/>
          <w:szCs w:val="28"/>
        </w:rPr>
      </w:pPr>
    </w:p>
    <w:p w:rsidR="00A01404" w:rsidRDefault="00552F41">
      <w:pPr>
        <w:pStyle w:val="Default"/>
        <w:rPr>
          <w:sz w:val="28"/>
          <w:szCs w:val="28"/>
        </w:rPr>
      </w:pPr>
      <w:r>
        <w:rPr>
          <w:sz w:val="28"/>
          <w:szCs w:val="28"/>
        </w:rPr>
        <w:t>Die Dienstbarkeitsne</w:t>
      </w:r>
      <w:r>
        <w:rPr>
          <w:sz w:val="28"/>
          <w:szCs w:val="28"/>
        </w:rPr>
        <w:t>hmer haftet dem Dienstbarkeitsgeber unabhängig von der in Pkt. 8 festgelegten Entschädigung für alle Schäden, die durch die nicht vertragsgemäße Nutzung, insbesondere auch durch eine nicht sach- und fachgemäße Durchführung der Ablagerung und Rekultivierung</w:t>
      </w:r>
      <w:r>
        <w:rPr>
          <w:sz w:val="28"/>
          <w:szCs w:val="28"/>
        </w:rPr>
        <w:t xml:space="preserve">, Beschädigung des Zufahrtweges oder durch Unterlassung behördlicher Anordnung bzw. Nichtbeachtung gesetzlicher Vorschriften entstehen. </w:t>
      </w:r>
    </w:p>
    <w:p w:rsidR="00A01404" w:rsidRDefault="00552F41">
      <w:pPr>
        <w:pStyle w:val="Default"/>
        <w:rPr>
          <w:sz w:val="28"/>
          <w:szCs w:val="28"/>
        </w:rPr>
      </w:pPr>
      <w:r>
        <w:rPr>
          <w:sz w:val="28"/>
          <w:szCs w:val="28"/>
        </w:rPr>
        <w:t xml:space="preserve">Gegen allfällige Ansprüche Dritter, soweit sie durch den Vertragszweck verursacht wurden, hat der Dienstbarkeitsnehmer </w:t>
      </w:r>
      <w:r>
        <w:rPr>
          <w:sz w:val="28"/>
          <w:szCs w:val="28"/>
        </w:rPr>
        <w:t xml:space="preserve">den Dienstbarkeitsgeber schad- und klaglos zu halten. </w:t>
      </w:r>
    </w:p>
    <w:p w:rsidR="00A01404" w:rsidRDefault="00A01404">
      <w:pPr>
        <w:pStyle w:val="Default"/>
        <w:rPr>
          <w:sz w:val="28"/>
          <w:szCs w:val="28"/>
        </w:rPr>
      </w:pPr>
    </w:p>
    <w:p w:rsidR="00A01404" w:rsidRDefault="00A01404">
      <w:pPr>
        <w:pStyle w:val="Default"/>
        <w:rPr>
          <w:sz w:val="28"/>
          <w:szCs w:val="28"/>
        </w:rPr>
      </w:pPr>
    </w:p>
    <w:p w:rsidR="00A01404" w:rsidRDefault="00552F41">
      <w:pPr>
        <w:pStyle w:val="Default"/>
        <w:rPr>
          <w:sz w:val="28"/>
          <w:szCs w:val="28"/>
        </w:rPr>
      </w:pPr>
      <w:r>
        <w:rPr>
          <w:b/>
          <w:bCs/>
          <w:sz w:val="28"/>
          <w:szCs w:val="28"/>
        </w:rPr>
        <w:t>XI. Grundbuch</w:t>
      </w:r>
    </w:p>
    <w:p w:rsidR="00A01404" w:rsidRDefault="00A01404">
      <w:pPr>
        <w:pStyle w:val="Default"/>
        <w:rPr>
          <w:sz w:val="28"/>
          <w:szCs w:val="28"/>
        </w:rPr>
      </w:pPr>
    </w:p>
    <w:p w:rsidR="00A01404" w:rsidRDefault="00552F41">
      <w:pPr>
        <w:pStyle w:val="Default"/>
        <w:rPr>
          <w:sz w:val="28"/>
          <w:szCs w:val="28"/>
        </w:rPr>
      </w:pPr>
      <w:r>
        <w:rPr>
          <w:sz w:val="28"/>
          <w:szCs w:val="28"/>
        </w:rPr>
        <w:t>Eine grundbücherliche Besicherung der gegenständlichen Dienstbarkeitseinräumung erfolgt einvernehmlich nicht.</w:t>
      </w:r>
    </w:p>
    <w:p w:rsidR="00A01404" w:rsidRDefault="00A01404">
      <w:pPr>
        <w:pStyle w:val="Default"/>
        <w:rPr>
          <w:sz w:val="28"/>
          <w:szCs w:val="28"/>
        </w:rPr>
      </w:pPr>
    </w:p>
    <w:p w:rsidR="00A01404" w:rsidRDefault="00A01404">
      <w:pPr>
        <w:pStyle w:val="Default"/>
        <w:rPr>
          <w:sz w:val="28"/>
          <w:szCs w:val="28"/>
        </w:rPr>
      </w:pPr>
    </w:p>
    <w:p w:rsidR="00A01404" w:rsidRDefault="00A01404">
      <w:pPr>
        <w:pStyle w:val="Default"/>
        <w:rPr>
          <w:sz w:val="28"/>
          <w:szCs w:val="28"/>
        </w:rPr>
      </w:pPr>
    </w:p>
    <w:tbl>
      <w:tblPr>
        <w:tblW w:w="0" w:type="auto"/>
        <w:tblLook w:val="00A0" w:firstRow="1" w:lastRow="0" w:firstColumn="1" w:lastColumn="0" w:noHBand="0" w:noVBand="0"/>
      </w:tblPr>
      <w:tblGrid>
        <w:gridCol w:w="4734"/>
        <w:gridCol w:w="4554"/>
      </w:tblGrid>
      <w:tr w:rsidR="00A01404">
        <w:tc>
          <w:tcPr>
            <w:tcW w:w="4606" w:type="dxa"/>
          </w:tcPr>
          <w:p w:rsidR="00A01404" w:rsidRDefault="00A01404">
            <w:pPr>
              <w:pStyle w:val="Default"/>
              <w:rPr>
                <w:sz w:val="28"/>
                <w:szCs w:val="28"/>
              </w:rPr>
            </w:pPr>
          </w:p>
          <w:p w:rsidR="00A01404" w:rsidRDefault="00552F41">
            <w:pPr>
              <w:pStyle w:val="Default"/>
              <w:rPr>
                <w:sz w:val="28"/>
                <w:szCs w:val="28"/>
              </w:rPr>
            </w:pPr>
            <w:r>
              <w:rPr>
                <w:sz w:val="28"/>
                <w:szCs w:val="28"/>
              </w:rPr>
              <w:t>…………………………………………………………</w:t>
            </w:r>
          </w:p>
          <w:p w:rsidR="00A01404" w:rsidRDefault="00552F41">
            <w:pPr>
              <w:pStyle w:val="Default"/>
              <w:rPr>
                <w:sz w:val="28"/>
                <w:szCs w:val="28"/>
              </w:rPr>
            </w:pPr>
            <w:r>
              <w:rPr>
                <w:sz w:val="28"/>
                <w:szCs w:val="28"/>
              </w:rPr>
              <w:t>Ort, Datum</w:t>
            </w:r>
          </w:p>
          <w:p w:rsidR="00A01404" w:rsidRDefault="00A01404">
            <w:pPr>
              <w:pStyle w:val="Default"/>
              <w:rPr>
                <w:sz w:val="28"/>
                <w:szCs w:val="28"/>
              </w:rPr>
            </w:pPr>
          </w:p>
        </w:tc>
        <w:tc>
          <w:tcPr>
            <w:tcW w:w="4606" w:type="dxa"/>
          </w:tcPr>
          <w:p w:rsidR="00A01404" w:rsidRDefault="00A01404">
            <w:pPr>
              <w:pStyle w:val="Default"/>
              <w:rPr>
                <w:sz w:val="28"/>
                <w:szCs w:val="28"/>
              </w:rPr>
            </w:pPr>
          </w:p>
        </w:tc>
      </w:tr>
      <w:tr w:rsidR="00A01404">
        <w:tc>
          <w:tcPr>
            <w:tcW w:w="4606" w:type="dxa"/>
          </w:tcPr>
          <w:p w:rsidR="00A01404" w:rsidRDefault="00A01404">
            <w:pPr>
              <w:pStyle w:val="Default"/>
              <w:rPr>
                <w:sz w:val="28"/>
                <w:szCs w:val="28"/>
              </w:rPr>
            </w:pPr>
          </w:p>
          <w:p w:rsidR="00A01404" w:rsidRDefault="00552F41">
            <w:pPr>
              <w:pStyle w:val="Default"/>
              <w:rPr>
                <w:sz w:val="28"/>
                <w:szCs w:val="28"/>
              </w:rPr>
            </w:pPr>
            <w:r>
              <w:rPr>
                <w:sz w:val="28"/>
                <w:szCs w:val="28"/>
              </w:rPr>
              <w:t>…………………………………………………………….</w:t>
            </w:r>
          </w:p>
          <w:p w:rsidR="00A01404" w:rsidRDefault="00A01404">
            <w:pPr>
              <w:pStyle w:val="Default"/>
              <w:rPr>
                <w:sz w:val="28"/>
                <w:szCs w:val="28"/>
              </w:rPr>
            </w:pPr>
          </w:p>
        </w:tc>
        <w:tc>
          <w:tcPr>
            <w:tcW w:w="4606" w:type="dxa"/>
          </w:tcPr>
          <w:p w:rsidR="00A01404" w:rsidRDefault="00A01404">
            <w:pPr>
              <w:pStyle w:val="Default"/>
              <w:rPr>
                <w:sz w:val="28"/>
                <w:szCs w:val="28"/>
              </w:rPr>
            </w:pPr>
          </w:p>
          <w:p w:rsidR="00A01404" w:rsidRDefault="00552F41">
            <w:pPr>
              <w:pStyle w:val="Default"/>
              <w:rPr>
                <w:sz w:val="28"/>
                <w:szCs w:val="28"/>
              </w:rPr>
            </w:pPr>
            <w:r>
              <w:rPr>
                <w:sz w:val="28"/>
                <w:szCs w:val="28"/>
              </w:rPr>
              <w:t>………………………………………………………….</w:t>
            </w:r>
          </w:p>
        </w:tc>
      </w:tr>
      <w:tr w:rsidR="00A01404">
        <w:tc>
          <w:tcPr>
            <w:tcW w:w="4606" w:type="dxa"/>
          </w:tcPr>
          <w:p w:rsidR="00A01404" w:rsidRDefault="00552F41">
            <w:pPr>
              <w:pStyle w:val="Default"/>
              <w:rPr>
                <w:sz w:val="28"/>
                <w:szCs w:val="28"/>
              </w:rPr>
            </w:pPr>
            <w:r>
              <w:rPr>
                <w:sz w:val="28"/>
                <w:szCs w:val="28"/>
              </w:rPr>
              <w:t>Dienstbarkeitsgeber</w:t>
            </w:r>
          </w:p>
        </w:tc>
        <w:tc>
          <w:tcPr>
            <w:tcW w:w="4606" w:type="dxa"/>
          </w:tcPr>
          <w:p w:rsidR="00A01404" w:rsidRDefault="00552F41">
            <w:pPr>
              <w:pStyle w:val="Default"/>
              <w:rPr>
                <w:sz w:val="28"/>
                <w:szCs w:val="28"/>
              </w:rPr>
            </w:pPr>
            <w:r>
              <w:rPr>
                <w:sz w:val="28"/>
                <w:szCs w:val="28"/>
              </w:rPr>
              <w:t>Dienstbarkeitsnehmer</w:t>
            </w:r>
          </w:p>
        </w:tc>
      </w:tr>
    </w:tbl>
    <w:p w:rsidR="00A01404" w:rsidRDefault="00552F41">
      <w:pPr>
        <w:rPr>
          <w:rFonts w:asciiTheme="minorHAnsi" w:hAnsiTheme="minorHAnsi"/>
          <w:b/>
          <w:sz w:val="28"/>
          <w:szCs w:val="28"/>
        </w:rPr>
      </w:pPr>
      <w:r>
        <w:rPr>
          <w:rFonts w:asciiTheme="minorHAnsi" w:hAnsiTheme="minorHAnsi"/>
          <w:b/>
          <w:sz w:val="28"/>
          <w:szCs w:val="28"/>
        </w:rPr>
        <w:t>Anhang</w:t>
      </w:r>
    </w:p>
    <w:p w:rsidR="00A01404" w:rsidRDefault="00A01404">
      <w:pPr>
        <w:rPr>
          <w:rFonts w:asciiTheme="minorHAnsi" w:hAnsiTheme="minorHAnsi"/>
          <w:sz w:val="28"/>
          <w:szCs w:val="28"/>
        </w:rPr>
      </w:pPr>
    </w:p>
    <w:p w:rsidR="00A01404" w:rsidRDefault="00552F41">
      <w:pPr>
        <w:rPr>
          <w:rFonts w:asciiTheme="minorHAnsi" w:hAnsiTheme="minorHAnsi"/>
          <w:sz w:val="28"/>
          <w:szCs w:val="28"/>
          <w:u w:val="single"/>
        </w:rPr>
      </w:pPr>
      <w:r>
        <w:rPr>
          <w:rFonts w:asciiTheme="minorHAnsi" w:hAnsiTheme="minorHAnsi"/>
          <w:sz w:val="28"/>
          <w:szCs w:val="28"/>
          <w:u w:val="single"/>
        </w:rPr>
        <w:t xml:space="preserve">Höhe des Dienstbarkeits- und Nutzungsentgeltes in Abhängigkeit  vom Jahr des Kostenanerkennungstichtages </w:t>
      </w:r>
      <w:r>
        <w:rPr>
          <w:rFonts w:asciiTheme="minorHAnsi" w:hAnsiTheme="minorHAnsi"/>
          <w:u w:val="single"/>
        </w:rPr>
        <w:t>(</w:t>
      </w:r>
      <w:r>
        <w:rPr>
          <w:rFonts w:asciiTheme="minorHAnsi" w:hAnsiTheme="minorHAnsi"/>
          <w:b/>
          <w:sz w:val="20"/>
          <w:szCs w:val="20"/>
          <w:u w:val="single"/>
        </w:rPr>
        <w:t>dieser wird dem Förderwerber ( der Förderwerberin) maximal 14 Tage nach der</w:t>
      </w:r>
      <w:r>
        <w:rPr>
          <w:rFonts w:asciiTheme="minorHAnsi" w:hAnsiTheme="minorHAnsi"/>
          <w:b/>
          <w:sz w:val="20"/>
          <w:szCs w:val="20"/>
          <w:u w:val="single"/>
        </w:rPr>
        <w:t xml:space="preserve"> Einreichung des Antrages bei der Förderstelle schriftlich mitgeteilt)</w:t>
      </w:r>
      <w:r>
        <w:rPr>
          <w:rFonts w:asciiTheme="minorHAnsi" w:hAnsiTheme="minorHAnsi"/>
          <w:sz w:val="28"/>
          <w:szCs w:val="28"/>
          <w:u w:val="single"/>
        </w:rPr>
        <w:t xml:space="preserve"> und einer Vertragslaufzeit bis mindestens 30.6.2023</w:t>
      </w:r>
    </w:p>
    <w:p w:rsidR="00A01404" w:rsidRDefault="00A01404">
      <w:pPr>
        <w:rPr>
          <w:rFonts w:asciiTheme="minorHAnsi" w:hAnsiTheme="minorHAnsi"/>
          <w:sz w:val="28"/>
          <w:szCs w:val="28"/>
        </w:rPr>
      </w:pPr>
    </w:p>
    <w:tbl>
      <w:tblPr>
        <w:tblStyle w:val="Tabellenraster"/>
        <w:tblW w:w="7763" w:type="dxa"/>
        <w:tblInd w:w="817" w:type="dxa"/>
        <w:tblLook w:val="04A0" w:firstRow="1" w:lastRow="0" w:firstColumn="1" w:lastColumn="0" w:noHBand="0" w:noVBand="1"/>
      </w:tblPr>
      <w:tblGrid>
        <w:gridCol w:w="2917"/>
        <w:gridCol w:w="2185"/>
        <w:gridCol w:w="3369"/>
      </w:tblGrid>
      <w:tr w:rsidR="00A01404">
        <w:trPr>
          <w:trHeight w:val="1202"/>
        </w:trPr>
        <w:tc>
          <w:tcPr>
            <w:tcW w:w="1320" w:type="dxa"/>
            <w:vMerge w:val="restart"/>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Jahr des Kostenanerkennungsstichtages:</w:t>
            </w:r>
          </w:p>
          <w:p w:rsidR="00A01404" w:rsidRDefault="00552F41">
            <w:pPr>
              <w:spacing w:line="276" w:lineRule="auto"/>
              <w:jc w:val="center"/>
              <w:rPr>
                <w:rFonts w:asciiTheme="minorHAnsi" w:hAnsiTheme="minorHAnsi"/>
                <w:sz w:val="24"/>
                <w:szCs w:val="28"/>
              </w:rPr>
            </w:pPr>
            <w:r>
              <w:rPr>
                <w:rFonts w:asciiTheme="minorHAnsi" w:hAnsiTheme="minorHAnsi"/>
                <w:sz w:val="24"/>
                <w:szCs w:val="28"/>
              </w:rPr>
              <w:t>(Vertragslaufzeit vom Jahr der Kostenanerkennung bis 30.06. 2023)</w:t>
            </w:r>
          </w:p>
        </w:tc>
        <w:tc>
          <w:tcPr>
            <w:tcW w:w="2527" w:type="dxa"/>
            <w:tcBorders>
              <w:bottom w:val="nil"/>
            </w:tcBorders>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Dienstbarkeitsentgelt einma</w:t>
            </w:r>
            <w:r>
              <w:rPr>
                <w:rFonts w:asciiTheme="minorHAnsi" w:hAnsiTheme="minorHAnsi"/>
                <w:b/>
                <w:sz w:val="24"/>
                <w:szCs w:val="28"/>
              </w:rPr>
              <w:t>lig (=Kostenbasis für die Förderbemessung)</w:t>
            </w:r>
          </w:p>
        </w:tc>
        <w:tc>
          <w:tcPr>
            <w:tcW w:w="3916" w:type="dxa"/>
            <w:tcBorders>
              <w:bottom w:val="nil"/>
            </w:tcBorders>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Nutzungsentgelt bei tatsächlicher Inanspruchnahme der Deponiefläche für die Ablagerung von Sedimentmaterial im jeweiligen Jahr.</w:t>
            </w:r>
          </w:p>
        </w:tc>
      </w:tr>
      <w:tr w:rsidR="00A01404">
        <w:trPr>
          <w:trHeight w:val="285"/>
        </w:trPr>
        <w:tc>
          <w:tcPr>
            <w:tcW w:w="1320" w:type="dxa"/>
            <w:vMerge/>
            <w:noWrap/>
            <w:hideMark/>
          </w:tcPr>
          <w:p w:rsidR="00A01404" w:rsidRDefault="00A01404">
            <w:pPr>
              <w:spacing w:line="276" w:lineRule="auto"/>
              <w:jc w:val="center"/>
              <w:rPr>
                <w:rFonts w:asciiTheme="minorHAnsi" w:hAnsiTheme="minorHAnsi"/>
                <w:sz w:val="24"/>
                <w:szCs w:val="28"/>
              </w:rPr>
            </w:pPr>
          </w:p>
        </w:tc>
        <w:tc>
          <w:tcPr>
            <w:tcW w:w="2527" w:type="dxa"/>
            <w:tcBorders>
              <w:top w:val="nil"/>
            </w:tcBorders>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EUR je m²</w:t>
            </w:r>
          </w:p>
        </w:tc>
        <w:tc>
          <w:tcPr>
            <w:tcW w:w="3916" w:type="dxa"/>
            <w:tcBorders>
              <w:top w:val="nil"/>
            </w:tcBorders>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EUR je m²</w:t>
            </w:r>
          </w:p>
        </w:tc>
      </w:tr>
      <w:tr w:rsidR="00A01404">
        <w:trPr>
          <w:trHeight w:val="473"/>
        </w:trPr>
        <w:tc>
          <w:tcPr>
            <w:tcW w:w="1320" w:type="dxa"/>
            <w:noWrap/>
            <w:vAlign w:val="bottom"/>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2017</w:t>
            </w:r>
          </w:p>
        </w:tc>
        <w:tc>
          <w:tcPr>
            <w:tcW w:w="2527" w:type="dxa"/>
            <w:noWrap/>
            <w:vAlign w:val="bottom"/>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0,91</w:t>
            </w:r>
          </w:p>
        </w:tc>
        <w:tc>
          <w:tcPr>
            <w:tcW w:w="3916" w:type="dxa"/>
            <w:noWrap/>
            <w:vAlign w:val="bottom"/>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1,09</w:t>
            </w:r>
          </w:p>
        </w:tc>
      </w:tr>
      <w:tr w:rsidR="00A01404">
        <w:trPr>
          <w:trHeight w:val="285"/>
        </w:trPr>
        <w:tc>
          <w:tcPr>
            <w:tcW w:w="1320"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2018</w:t>
            </w:r>
          </w:p>
        </w:tc>
        <w:tc>
          <w:tcPr>
            <w:tcW w:w="2527" w:type="dxa"/>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0,78</w:t>
            </w:r>
          </w:p>
        </w:tc>
        <w:tc>
          <w:tcPr>
            <w:tcW w:w="3916"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1,22</w:t>
            </w:r>
          </w:p>
        </w:tc>
      </w:tr>
      <w:tr w:rsidR="00A01404">
        <w:trPr>
          <w:trHeight w:val="285"/>
        </w:trPr>
        <w:tc>
          <w:tcPr>
            <w:tcW w:w="1320"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2019</w:t>
            </w:r>
          </w:p>
        </w:tc>
        <w:tc>
          <w:tcPr>
            <w:tcW w:w="2527" w:type="dxa"/>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0,65</w:t>
            </w:r>
          </w:p>
        </w:tc>
        <w:tc>
          <w:tcPr>
            <w:tcW w:w="3916"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1,35</w:t>
            </w:r>
          </w:p>
        </w:tc>
      </w:tr>
      <w:tr w:rsidR="00A01404">
        <w:trPr>
          <w:trHeight w:val="285"/>
        </w:trPr>
        <w:tc>
          <w:tcPr>
            <w:tcW w:w="1320"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2020</w:t>
            </w:r>
          </w:p>
        </w:tc>
        <w:tc>
          <w:tcPr>
            <w:tcW w:w="2527" w:type="dxa"/>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0,52</w:t>
            </w:r>
          </w:p>
        </w:tc>
        <w:tc>
          <w:tcPr>
            <w:tcW w:w="3916"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1,48</w:t>
            </w:r>
          </w:p>
        </w:tc>
      </w:tr>
      <w:tr w:rsidR="00A01404">
        <w:trPr>
          <w:trHeight w:val="285"/>
        </w:trPr>
        <w:tc>
          <w:tcPr>
            <w:tcW w:w="1320"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2021</w:t>
            </w:r>
          </w:p>
        </w:tc>
        <w:tc>
          <w:tcPr>
            <w:tcW w:w="2527" w:type="dxa"/>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0,39</w:t>
            </w:r>
          </w:p>
        </w:tc>
        <w:tc>
          <w:tcPr>
            <w:tcW w:w="3916"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1,61</w:t>
            </w:r>
          </w:p>
        </w:tc>
      </w:tr>
      <w:tr w:rsidR="00A01404">
        <w:trPr>
          <w:trHeight w:val="285"/>
        </w:trPr>
        <w:tc>
          <w:tcPr>
            <w:tcW w:w="1320"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2022</w:t>
            </w:r>
          </w:p>
        </w:tc>
        <w:tc>
          <w:tcPr>
            <w:tcW w:w="2527" w:type="dxa"/>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0,26</w:t>
            </w:r>
          </w:p>
        </w:tc>
        <w:tc>
          <w:tcPr>
            <w:tcW w:w="3916"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1,74</w:t>
            </w:r>
          </w:p>
        </w:tc>
      </w:tr>
      <w:tr w:rsidR="00A01404">
        <w:trPr>
          <w:trHeight w:val="285"/>
        </w:trPr>
        <w:tc>
          <w:tcPr>
            <w:tcW w:w="1320"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2023</w:t>
            </w:r>
          </w:p>
        </w:tc>
        <w:tc>
          <w:tcPr>
            <w:tcW w:w="2527" w:type="dxa"/>
            <w:noWrap/>
            <w:hideMark/>
          </w:tcPr>
          <w:p w:rsidR="00A01404" w:rsidRDefault="00552F41">
            <w:pPr>
              <w:spacing w:line="276" w:lineRule="auto"/>
              <w:jc w:val="center"/>
              <w:rPr>
                <w:rFonts w:asciiTheme="minorHAnsi" w:hAnsiTheme="minorHAnsi"/>
                <w:b/>
                <w:sz w:val="24"/>
                <w:szCs w:val="28"/>
              </w:rPr>
            </w:pPr>
            <w:r>
              <w:rPr>
                <w:rFonts w:asciiTheme="minorHAnsi" w:hAnsiTheme="minorHAnsi"/>
                <w:b/>
                <w:sz w:val="24"/>
                <w:szCs w:val="28"/>
              </w:rPr>
              <w:t>0,13</w:t>
            </w:r>
          </w:p>
        </w:tc>
        <w:tc>
          <w:tcPr>
            <w:tcW w:w="3916" w:type="dxa"/>
            <w:noWrap/>
            <w:hideMark/>
          </w:tcPr>
          <w:p w:rsidR="00A01404" w:rsidRDefault="00552F41">
            <w:pPr>
              <w:spacing w:line="276" w:lineRule="auto"/>
              <w:jc w:val="center"/>
              <w:rPr>
                <w:rFonts w:asciiTheme="minorHAnsi" w:hAnsiTheme="minorHAnsi"/>
                <w:sz w:val="24"/>
                <w:szCs w:val="28"/>
              </w:rPr>
            </w:pPr>
            <w:r>
              <w:rPr>
                <w:rFonts w:asciiTheme="minorHAnsi" w:hAnsiTheme="minorHAnsi"/>
                <w:sz w:val="24"/>
                <w:szCs w:val="28"/>
              </w:rPr>
              <w:t>1,87</w:t>
            </w:r>
          </w:p>
        </w:tc>
      </w:tr>
    </w:tbl>
    <w:p w:rsidR="00A01404" w:rsidRDefault="00A01404">
      <w:pPr>
        <w:rPr>
          <w:rFonts w:asciiTheme="minorHAnsi" w:hAnsiTheme="minorHAnsi"/>
          <w:sz w:val="24"/>
          <w:szCs w:val="28"/>
        </w:rPr>
      </w:pPr>
    </w:p>
    <w:p w:rsidR="00A01404" w:rsidRDefault="00A01404">
      <w:pPr>
        <w:rPr>
          <w:rFonts w:asciiTheme="minorHAnsi" w:hAnsiTheme="minorHAnsi"/>
          <w:sz w:val="24"/>
          <w:szCs w:val="28"/>
        </w:rPr>
      </w:pPr>
    </w:p>
    <w:p w:rsidR="00A01404" w:rsidRDefault="00552F41">
      <w:pPr>
        <w:jc w:val="both"/>
        <w:rPr>
          <w:rFonts w:asciiTheme="minorHAnsi" w:hAnsiTheme="minorHAnsi"/>
          <w:b/>
          <w:sz w:val="24"/>
          <w:szCs w:val="28"/>
          <w:u w:val="single"/>
        </w:rPr>
      </w:pPr>
      <w:r>
        <w:rPr>
          <w:rFonts w:asciiTheme="minorHAnsi" w:hAnsiTheme="minorHAnsi"/>
          <w:b/>
          <w:sz w:val="24"/>
          <w:szCs w:val="28"/>
          <w:u w:val="single"/>
        </w:rPr>
        <w:t>Erläuterungen:</w:t>
      </w:r>
    </w:p>
    <w:p w:rsidR="00A01404" w:rsidRDefault="00552F41">
      <w:pPr>
        <w:jc w:val="both"/>
        <w:rPr>
          <w:rFonts w:asciiTheme="minorHAnsi" w:hAnsiTheme="minorHAnsi"/>
          <w:sz w:val="24"/>
          <w:szCs w:val="28"/>
        </w:rPr>
      </w:pPr>
      <w:r>
        <w:rPr>
          <w:rFonts w:asciiTheme="minorHAnsi" w:hAnsiTheme="minorHAnsi"/>
          <w:sz w:val="24"/>
          <w:szCs w:val="28"/>
        </w:rPr>
        <w:t xml:space="preserve">Das Dienstbarkeitsentgelt wurde unter Berücksichtigung einer jährlichen Inflationsrate von 2% für jedes Jahr der Vertragslaufzeit ermittelt und als Mittelwert von EUR 0,13 pro Jahr und m² </w:t>
      </w:r>
      <w:r>
        <w:rPr>
          <w:rFonts w:asciiTheme="minorHAnsi" w:hAnsiTheme="minorHAnsi"/>
          <w:sz w:val="24"/>
          <w:szCs w:val="28"/>
        </w:rPr>
        <w:t>Deponiefläche angesetzt. Dieses ist je nach  dem Jahr der Kostenanerkennung und der verbleibenden Vertragslaufzeit bis jedenfalls 30.6.2023 nach Unterzeichnung des Vertrages durch die Vertragspartner einmalig mit den in Spalte 2 dargestellten Beträgen zu b</w:t>
      </w:r>
      <w:r>
        <w:rPr>
          <w:rFonts w:asciiTheme="minorHAnsi" w:hAnsiTheme="minorHAnsi"/>
          <w:sz w:val="24"/>
          <w:szCs w:val="28"/>
        </w:rPr>
        <w:t>erechnen und auszuzahlen.</w:t>
      </w:r>
    </w:p>
    <w:p w:rsidR="00A01404" w:rsidRDefault="00A01404">
      <w:pPr>
        <w:jc w:val="both"/>
        <w:rPr>
          <w:rFonts w:asciiTheme="minorHAnsi" w:hAnsiTheme="minorHAnsi"/>
          <w:sz w:val="24"/>
          <w:szCs w:val="28"/>
        </w:rPr>
      </w:pPr>
    </w:p>
    <w:p w:rsidR="00A01404" w:rsidRDefault="00552F41">
      <w:pPr>
        <w:jc w:val="both"/>
        <w:rPr>
          <w:rFonts w:asciiTheme="minorHAnsi" w:hAnsiTheme="minorHAnsi"/>
          <w:sz w:val="24"/>
          <w:szCs w:val="28"/>
        </w:rPr>
      </w:pPr>
      <w:r>
        <w:rPr>
          <w:rFonts w:asciiTheme="minorHAnsi" w:hAnsiTheme="minorHAnsi"/>
          <w:sz w:val="24"/>
          <w:szCs w:val="28"/>
        </w:rPr>
        <w:t>Erfolgt eine Nutzung der Deponiefläche durch die Ablagerung von Sedimentmaterial nach Naturkatastrophen wird zusätzlich zum Dienstbarkeitsentgelt auch das Nutzungsentgelt gem. Spalte 3  in der o.a.  Tabelle fällig. Dieser Betrags</w:t>
      </w:r>
      <w:r>
        <w:rPr>
          <w:rFonts w:asciiTheme="minorHAnsi" w:hAnsiTheme="minorHAnsi"/>
          <w:sz w:val="24"/>
          <w:szCs w:val="28"/>
        </w:rPr>
        <w:t>teil ist jedoch nicht LE- Förderfähig.</w:t>
      </w:r>
    </w:p>
    <w:p w:rsidR="00A01404" w:rsidRDefault="00A01404">
      <w:pPr>
        <w:jc w:val="both"/>
        <w:rPr>
          <w:rFonts w:asciiTheme="minorHAnsi" w:hAnsiTheme="minorHAnsi"/>
          <w:sz w:val="24"/>
          <w:szCs w:val="28"/>
        </w:rPr>
      </w:pPr>
    </w:p>
    <w:p w:rsidR="00A01404" w:rsidRDefault="00552F41">
      <w:pPr>
        <w:jc w:val="both"/>
        <w:rPr>
          <w:rFonts w:asciiTheme="minorHAnsi" w:hAnsiTheme="minorHAnsi"/>
          <w:sz w:val="24"/>
          <w:szCs w:val="28"/>
          <w:u w:val="single"/>
        </w:rPr>
      </w:pPr>
      <w:r>
        <w:rPr>
          <w:rFonts w:asciiTheme="minorHAnsi" w:hAnsiTheme="minorHAnsi"/>
          <w:sz w:val="24"/>
          <w:szCs w:val="28"/>
          <w:u w:val="single"/>
        </w:rPr>
        <w:t>Beispiel 1:</w:t>
      </w:r>
    </w:p>
    <w:p w:rsidR="00A01404" w:rsidRDefault="00552F41">
      <w:pPr>
        <w:jc w:val="both"/>
        <w:rPr>
          <w:rFonts w:asciiTheme="minorHAnsi" w:hAnsiTheme="minorHAnsi"/>
          <w:sz w:val="24"/>
          <w:szCs w:val="28"/>
        </w:rPr>
      </w:pPr>
      <w:r>
        <w:rPr>
          <w:rFonts w:asciiTheme="minorHAnsi" w:hAnsiTheme="minorHAnsi"/>
          <w:sz w:val="24"/>
          <w:szCs w:val="28"/>
        </w:rPr>
        <w:t>Antragsjahr 2017:</w:t>
      </w:r>
    </w:p>
    <w:p w:rsidR="00A01404" w:rsidRDefault="00552F41">
      <w:pPr>
        <w:jc w:val="both"/>
        <w:rPr>
          <w:rFonts w:asciiTheme="minorHAnsi" w:hAnsiTheme="minorHAnsi"/>
          <w:sz w:val="24"/>
          <w:szCs w:val="28"/>
        </w:rPr>
      </w:pPr>
      <w:r>
        <w:rPr>
          <w:rFonts w:asciiTheme="minorHAnsi" w:hAnsiTheme="minorHAnsi"/>
          <w:sz w:val="24"/>
          <w:szCs w:val="28"/>
        </w:rPr>
        <w:t>Einmaliges Dienstbarkeitsentgelt von EUR 0,91 pro m² für die Vertragslaufzeit (7 Jahre)</w:t>
      </w:r>
    </w:p>
    <w:p w:rsidR="00A01404" w:rsidRDefault="00552F41">
      <w:pPr>
        <w:jc w:val="both"/>
        <w:rPr>
          <w:rFonts w:asciiTheme="minorHAnsi" w:hAnsiTheme="minorHAnsi"/>
          <w:sz w:val="24"/>
          <w:szCs w:val="28"/>
        </w:rPr>
      </w:pPr>
      <w:r>
        <w:rPr>
          <w:rFonts w:asciiTheme="minorHAnsi" w:hAnsiTheme="minorHAnsi"/>
          <w:sz w:val="24"/>
          <w:szCs w:val="28"/>
        </w:rPr>
        <w:t xml:space="preserve">Keine Nutzung der Deponiefläche während der Vertragslaufzeit bedeutet auch kein zusätzliches </w:t>
      </w:r>
      <w:r>
        <w:rPr>
          <w:rFonts w:asciiTheme="minorHAnsi" w:hAnsiTheme="minorHAnsi"/>
          <w:sz w:val="24"/>
          <w:szCs w:val="28"/>
        </w:rPr>
        <w:t>Nutzungsentgelt.</w:t>
      </w:r>
    </w:p>
    <w:p w:rsidR="00A01404" w:rsidRDefault="00A01404">
      <w:pPr>
        <w:jc w:val="both"/>
        <w:rPr>
          <w:rFonts w:asciiTheme="minorHAnsi" w:hAnsiTheme="minorHAnsi"/>
          <w:sz w:val="24"/>
          <w:szCs w:val="28"/>
        </w:rPr>
      </w:pPr>
    </w:p>
    <w:p w:rsidR="00A01404" w:rsidRDefault="00552F41">
      <w:pPr>
        <w:jc w:val="both"/>
        <w:rPr>
          <w:rFonts w:asciiTheme="minorHAnsi" w:hAnsiTheme="minorHAnsi"/>
          <w:sz w:val="24"/>
          <w:szCs w:val="28"/>
          <w:u w:val="single"/>
        </w:rPr>
      </w:pPr>
      <w:r>
        <w:rPr>
          <w:rFonts w:asciiTheme="minorHAnsi" w:hAnsiTheme="minorHAnsi"/>
          <w:sz w:val="24"/>
          <w:szCs w:val="28"/>
          <w:u w:val="single"/>
        </w:rPr>
        <w:t>Beispiel 2:</w:t>
      </w:r>
    </w:p>
    <w:p w:rsidR="00A01404" w:rsidRDefault="00552F41">
      <w:pPr>
        <w:jc w:val="both"/>
        <w:rPr>
          <w:rFonts w:asciiTheme="minorHAnsi" w:hAnsiTheme="minorHAnsi"/>
          <w:sz w:val="24"/>
          <w:szCs w:val="28"/>
        </w:rPr>
      </w:pPr>
      <w:r>
        <w:rPr>
          <w:rFonts w:asciiTheme="minorHAnsi" w:hAnsiTheme="minorHAnsi"/>
          <w:sz w:val="24"/>
          <w:szCs w:val="28"/>
        </w:rPr>
        <w:t>Antragsjahr 2017:</w:t>
      </w:r>
    </w:p>
    <w:p w:rsidR="00A01404" w:rsidRDefault="00552F41">
      <w:pPr>
        <w:jc w:val="both"/>
        <w:rPr>
          <w:rFonts w:asciiTheme="minorHAnsi" w:hAnsiTheme="minorHAnsi"/>
          <w:sz w:val="24"/>
          <w:szCs w:val="28"/>
        </w:rPr>
      </w:pPr>
      <w:r>
        <w:rPr>
          <w:rFonts w:asciiTheme="minorHAnsi" w:hAnsiTheme="minorHAnsi"/>
          <w:sz w:val="24"/>
          <w:szCs w:val="28"/>
        </w:rPr>
        <w:t>Einmaliges Dienstbarkeitsentgelt von EUR 0,91 pro m² für die Vertragslaufzeit (7 Jahre)</w:t>
      </w:r>
    </w:p>
    <w:p w:rsidR="00A01404" w:rsidRDefault="00552F41">
      <w:pPr>
        <w:jc w:val="both"/>
        <w:rPr>
          <w:rFonts w:asciiTheme="minorHAnsi" w:hAnsiTheme="minorHAnsi"/>
          <w:sz w:val="24"/>
          <w:szCs w:val="28"/>
        </w:rPr>
      </w:pPr>
      <w:r>
        <w:rPr>
          <w:rFonts w:asciiTheme="minorHAnsi" w:hAnsiTheme="minorHAnsi"/>
          <w:sz w:val="24"/>
          <w:szCs w:val="28"/>
        </w:rPr>
        <w:t>Vollständige Nutzung der Deponiefläche im Jahr 2020 bedeutet ein zusätzliches Nutzungsentgelt von EUR 1,48 pro m².</w:t>
      </w:r>
    </w:p>
    <w:p w:rsidR="00A01404" w:rsidRDefault="00A01404">
      <w:pPr>
        <w:jc w:val="both"/>
        <w:rPr>
          <w:rFonts w:asciiTheme="minorHAnsi" w:hAnsiTheme="minorHAnsi"/>
          <w:sz w:val="24"/>
          <w:szCs w:val="28"/>
        </w:rPr>
      </w:pPr>
    </w:p>
    <w:p w:rsidR="00A01404" w:rsidRDefault="00552F41">
      <w:pPr>
        <w:jc w:val="both"/>
        <w:rPr>
          <w:rFonts w:asciiTheme="minorHAnsi" w:hAnsiTheme="minorHAnsi"/>
          <w:sz w:val="24"/>
          <w:szCs w:val="28"/>
        </w:rPr>
      </w:pPr>
      <w:r>
        <w:rPr>
          <w:rFonts w:asciiTheme="minorHAnsi" w:hAnsiTheme="minorHAnsi"/>
          <w:sz w:val="24"/>
          <w:szCs w:val="28"/>
        </w:rPr>
        <w:t>Im F</w:t>
      </w:r>
      <w:r>
        <w:rPr>
          <w:rFonts w:asciiTheme="minorHAnsi" w:hAnsiTheme="minorHAnsi"/>
          <w:sz w:val="24"/>
          <w:szCs w:val="28"/>
        </w:rPr>
        <w:t>alle einer nur anteiligen Nutzung der Deponiefläche sind die Beträge anteilig zu ermitteln.</w:t>
      </w:r>
    </w:p>
    <w:p w:rsidR="00A01404" w:rsidRDefault="00A01404">
      <w:pPr>
        <w:jc w:val="both"/>
        <w:rPr>
          <w:rFonts w:asciiTheme="minorHAnsi" w:hAnsiTheme="minorHAnsi"/>
          <w:sz w:val="24"/>
          <w:szCs w:val="28"/>
          <w:u w:val="single"/>
        </w:rPr>
      </w:pPr>
    </w:p>
    <w:p w:rsidR="00A01404" w:rsidRDefault="00552F41">
      <w:pPr>
        <w:jc w:val="both"/>
        <w:rPr>
          <w:rFonts w:asciiTheme="minorHAnsi" w:hAnsiTheme="minorHAnsi"/>
          <w:sz w:val="24"/>
          <w:szCs w:val="28"/>
          <w:u w:val="single"/>
        </w:rPr>
      </w:pPr>
      <w:r>
        <w:rPr>
          <w:rFonts w:asciiTheme="minorHAnsi" w:hAnsiTheme="minorHAnsi"/>
          <w:sz w:val="24"/>
          <w:szCs w:val="28"/>
          <w:u w:val="single"/>
        </w:rPr>
        <w:t>Beispiel 3:</w:t>
      </w:r>
    </w:p>
    <w:p w:rsidR="00A01404" w:rsidRDefault="00552F41">
      <w:pPr>
        <w:jc w:val="both"/>
        <w:rPr>
          <w:rFonts w:asciiTheme="minorHAnsi" w:hAnsiTheme="minorHAnsi"/>
          <w:sz w:val="24"/>
          <w:szCs w:val="28"/>
        </w:rPr>
      </w:pPr>
      <w:r>
        <w:rPr>
          <w:rFonts w:asciiTheme="minorHAnsi" w:hAnsiTheme="minorHAnsi"/>
          <w:sz w:val="24"/>
          <w:szCs w:val="28"/>
        </w:rPr>
        <w:t>Antrag im Jahr 2018: 1 ha Deponiefläche</w:t>
      </w:r>
    </w:p>
    <w:p w:rsidR="00A01404" w:rsidRDefault="00552F41">
      <w:pPr>
        <w:jc w:val="both"/>
        <w:rPr>
          <w:rFonts w:asciiTheme="minorHAnsi" w:hAnsiTheme="minorHAnsi"/>
          <w:sz w:val="24"/>
          <w:szCs w:val="28"/>
        </w:rPr>
      </w:pPr>
      <w:r>
        <w:rPr>
          <w:rFonts w:asciiTheme="minorHAnsi" w:hAnsiTheme="minorHAnsi"/>
          <w:sz w:val="24"/>
          <w:szCs w:val="28"/>
        </w:rPr>
        <w:t>Einmaliges Dienstbarkeitsentgelt von EUR 0,78 pro m² für die Vertragslaufzeit (6 Jahre) = 0,78*10.000 = EUR 7.8</w:t>
      </w:r>
      <w:r>
        <w:rPr>
          <w:rFonts w:asciiTheme="minorHAnsi" w:hAnsiTheme="minorHAnsi"/>
          <w:sz w:val="24"/>
          <w:szCs w:val="28"/>
        </w:rPr>
        <w:t xml:space="preserve">00 </w:t>
      </w:r>
    </w:p>
    <w:p w:rsidR="00A01404" w:rsidRDefault="00552F41">
      <w:pPr>
        <w:jc w:val="both"/>
        <w:rPr>
          <w:rFonts w:asciiTheme="minorHAnsi" w:hAnsiTheme="minorHAnsi"/>
          <w:sz w:val="24"/>
          <w:szCs w:val="28"/>
        </w:rPr>
      </w:pPr>
      <w:r>
        <w:rPr>
          <w:rFonts w:asciiTheme="minorHAnsi" w:hAnsiTheme="minorHAnsi"/>
          <w:sz w:val="24"/>
          <w:szCs w:val="28"/>
        </w:rPr>
        <w:t>Tatsächliche Materialdeponie im Jahr 2020 auf der gesamten Fläche</w:t>
      </w:r>
    </w:p>
    <w:p w:rsidR="00A01404" w:rsidRDefault="00552F41">
      <w:pPr>
        <w:jc w:val="both"/>
        <w:rPr>
          <w:rFonts w:asciiTheme="minorHAnsi" w:hAnsiTheme="minorHAnsi"/>
          <w:sz w:val="24"/>
          <w:szCs w:val="28"/>
        </w:rPr>
      </w:pPr>
      <w:r>
        <w:rPr>
          <w:rFonts w:asciiTheme="minorHAnsi" w:hAnsiTheme="minorHAnsi"/>
          <w:sz w:val="24"/>
          <w:szCs w:val="28"/>
        </w:rPr>
        <w:t>1,48*10.000 m² = EUR 14.800 Nutzungsentgelt + EUR 7.800 Dienstbarkeitsentgelt =            EUR 22.600 Gesamtentgelt</w:t>
      </w:r>
    </w:p>
    <w:p w:rsidR="00A01404" w:rsidRDefault="00A01404">
      <w:pPr>
        <w:jc w:val="both"/>
        <w:rPr>
          <w:rFonts w:asciiTheme="minorHAnsi" w:hAnsiTheme="minorHAnsi"/>
          <w:sz w:val="24"/>
          <w:szCs w:val="28"/>
        </w:rPr>
      </w:pPr>
    </w:p>
    <w:p w:rsidR="00A01404" w:rsidRDefault="00552F41">
      <w:pPr>
        <w:jc w:val="both"/>
        <w:rPr>
          <w:rFonts w:asciiTheme="minorHAnsi" w:hAnsiTheme="minorHAnsi"/>
          <w:sz w:val="24"/>
          <w:szCs w:val="28"/>
        </w:rPr>
      </w:pPr>
      <w:r>
        <w:rPr>
          <w:rFonts w:asciiTheme="minorHAnsi" w:hAnsiTheme="minorHAnsi"/>
          <w:sz w:val="24"/>
          <w:szCs w:val="28"/>
          <w:u w:val="single"/>
        </w:rPr>
        <w:t>Beispiel 4:</w:t>
      </w:r>
    </w:p>
    <w:p w:rsidR="00A01404" w:rsidRDefault="00552F41">
      <w:pPr>
        <w:jc w:val="both"/>
        <w:rPr>
          <w:rFonts w:asciiTheme="minorHAnsi" w:hAnsiTheme="minorHAnsi"/>
          <w:sz w:val="24"/>
          <w:szCs w:val="28"/>
        </w:rPr>
      </w:pPr>
      <w:r>
        <w:rPr>
          <w:rFonts w:asciiTheme="minorHAnsi" w:hAnsiTheme="minorHAnsi"/>
          <w:sz w:val="24"/>
          <w:szCs w:val="28"/>
        </w:rPr>
        <w:t xml:space="preserve">wie Beispiel 3, jedoch tatsächliche Materialdeponie 2020 </w:t>
      </w:r>
      <w:r>
        <w:rPr>
          <w:rFonts w:asciiTheme="minorHAnsi" w:hAnsiTheme="minorHAnsi"/>
          <w:sz w:val="24"/>
          <w:szCs w:val="28"/>
        </w:rPr>
        <w:t>nur auf 60% der Fläche</w:t>
      </w:r>
    </w:p>
    <w:p w:rsidR="00A01404" w:rsidRDefault="00552F41">
      <w:pPr>
        <w:jc w:val="both"/>
        <w:rPr>
          <w:rFonts w:asciiTheme="minorHAnsi" w:hAnsiTheme="minorHAnsi"/>
          <w:sz w:val="24"/>
          <w:szCs w:val="28"/>
        </w:rPr>
      </w:pPr>
      <w:r>
        <w:rPr>
          <w:rFonts w:asciiTheme="minorHAnsi" w:hAnsiTheme="minorHAnsi"/>
          <w:sz w:val="24"/>
          <w:szCs w:val="28"/>
        </w:rPr>
        <w:t>EUR 14.800*0,60 = EUR 8.880 Gesamtentgelt</w:t>
      </w:r>
    </w:p>
    <w:p w:rsidR="00A01404" w:rsidRDefault="00552F41">
      <w:pPr>
        <w:jc w:val="both"/>
        <w:rPr>
          <w:rFonts w:asciiTheme="minorHAnsi" w:hAnsiTheme="minorHAnsi"/>
          <w:sz w:val="24"/>
          <w:szCs w:val="28"/>
        </w:rPr>
      </w:pPr>
      <w:r>
        <w:rPr>
          <w:rFonts w:asciiTheme="minorHAnsi" w:hAnsiTheme="minorHAnsi"/>
          <w:sz w:val="24"/>
          <w:szCs w:val="28"/>
        </w:rPr>
        <w:t>u. weitere Materialdeponie 2022 auf 30% der Fläche</w:t>
      </w:r>
    </w:p>
    <w:p w:rsidR="00A01404" w:rsidRDefault="00552F41">
      <w:pPr>
        <w:jc w:val="both"/>
        <w:rPr>
          <w:rFonts w:asciiTheme="minorHAnsi" w:hAnsiTheme="minorHAnsi"/>
          <w:sz w:val="24"/>
          <w:szCs w:val="28"/>
        </w:rPr>
      </w:pPr>
      <w:r>
        <w:rPr>
          <w:rFonts w:asciiTheme="minorHAnsi" w:hAnsiTheme="minorHAnsi"/>
          <w:sz w:val="24"/>
          <w:szCs w:val="28"/>
        </w:rPr>
        <w:t>EUR 1,74*10000*0,30 = EUR 5.220 ;   Gesamtentgelt: EUR 7.800 (Dienstbarkeitsentgelt)  + EUR 8.880 + EUR 5.220 = EUR 21.900 Gesamtentgelt</w:t>
      </w:r>
    </w:p>
    <w:p w:rsidR="00A01404" w:rsidRDefault="00A01404">
      <w:pPr>
        <w:jc w:val="both"/>
        <w:rPr>
          <w:rFonts w:asciiTheme="minorHAnsi" w:hAnsiTheme="minorHAnsi"/>
          <w:sz w:val="24"/>
          <w:szCs w:val="28"/>
        </w:rPr>
      </w:pPr>
    </w:p>
    <w:sectPr w:rsidR="00A0140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41" w:rsidRDefault="00552F41">
      <w:pPr>
        <w:spacing w:line="240" w:lineRule="auto"/>
      </w:pPr>
      <w:r>
        <w:separator/>
      </w:r>
    </w:p>
  </w:endnote>
  <w:endnote w:type="continuationSeparator" w:id="0">
    <w:p w:rsidR="00552F41" w:rsidRDefault="00552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04" w:rsidRDefault="00552F41">
    <w:pPr>
      <w:pStyle w:val="Fuzeile"/>
      <w:rPr>
        <w:rFonts w:ascii="Calibri" w:hAnsi="Calibri"/>
      </w:rPr>
    </w:pPr>
    <w:r>
      <w:rPr>
        <w:rFonts w:ascii="Calibri" w:hAnsi="Calibri"/>
        <w:lang w:val="de-DE"/>
      </w:rPr>
      <w:t xml:space="preserve">Seite </w:t>
    </w:r>
    <w:r>
      <w:rPr>
        <w:rFonts w:ascii="Calibri" w:hAnsi="Calibri"/>
        <w:b/>
        <w:bCs/>
      </w:rPr>
      <w:fldChar w:fldCharType="begin"/>
    </w:r>
    <w:r>
      <w:rPr>
        <w:rFonts w:ascii="Calibri" w:hAnsi="Calibri"/>
        <w:b/>
        <w:bCs/>
      </w:rPr>
      <w:instrText>PAGE</w:instrText>
    </w:r>
    <w:r>
      <w:rPr>
        <w:rFonts w:ascii="Calibri" w:hAnsi="Calibri"/>
        <w:b/>
        <w:bCs/>
      </w:rPr>
      <w:fldChar w:fldCharType="separate"/>
    </w:r>
    <w:r w:rsidR="00332739">
      <w:rPr>
        <w:rFonts w:ascii="Calibri" w:hAnsi="Calibri"/>
        <w:b/>
        <w:bCs/>
        <w:noProof/>
      </w:rPr>
      <w:t>8</w:t>
    </w:r>
    <w:r>
      <w:rPr>
        <w:rFonts w:ascii="Calibri" w:hAnsi="Calibri"/>
        <w:b/>
        <w:bCs/>
      </w:rPr>
      <w:fldChar w:fldCharType="end"/>
    </w:r>
    <w:r>
      <w:rPr>
        <w:rFonts w:ascii="Calibri" w:hAnsi="Calibri"/>
        <w:lang w:val="de-DE"/>
      </w:rPr>
      <w:t xml:space="preserve"> von </w:t>
    </w:r>
    <w:r>
      <w:rPr>
        <w:rFonts w:ascii="Calibri" w:hAnsi="Calibri"/>
        <w:b/>
        <w:bCs/>
      </w:rPr>
      <w:fldChar w:fldCharType="begin"/>
    </w:r>
    <w:r>
      <w:rPr>
        <w:rFonts w:ascii="Calibri" w:hAnsi="Calibri"/>
        <w:b/>
        <w:bCs/>
      </w:rPr>
      <w:instrText>NUMPAGES</w:instrText>
    </w:r>
    <w:r>
      <w:rPr>
        <w:rFonts w:ascii="Calibri" w:hAnsi="Calibri"/>
        <w:b/>
        <w:bCs/>
      </w:rPr>
      <w:fldChar w:fldCharType="separate"/>
    </w:r>
    <w:r w:rsidR="00332739">
      <w:rPr>
        <w:rFonts w:ascii="Calibri" w:hAnsi="Calibri"/>
        <w:b/>
        <w:bCs/>
        <w:noProof/>
      </w:rPr>
      <w:t>8</w:t>
    </w:r>
    <w:r>
      <w:rPr>
        <w:rFonts w:ascii="Calibri" w:hAnsi="Calibri"/>
        <w:b/>
        <w:bCs/>
      </w:rPr>
      <w:fldChar w:fldCharType="end"/>
    </w:r>
  </w:p>
  <w:p w:rsidR="00A01404" w:rsidRDefault="00A014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41" w:rsidRDefault="00552F41">
      <w:pPr>
        <w:spacing w:line="240" w:lineRule="auto"/>
      </w:pPr>
      <w:r>
        <w:separator/>
      </w:r>
    </w:p>
  </w:footnote>
  <w:footnote w:type="continuationSeparator" w:id="0">
    <w:p w:rsidR="00552F41" w:rsidRDefault="00552F41">
      <w:pPr>
        <w:spacing w:line="240" w:lineRule="auto"/>
      </w:pPr>
      <w:r>
        <w:continuationSeparator/>
      </w:r>
    </w:p>
  </w:footnote>
  <w:footnote w:id="1">
    <w:p w:rsidR="00A01404" w:rsidRDefault="00552F41">
      <w:pPr>
        <w:pStyle w:val="Funotentext"/>
      </w:pPr>
      <w:r>
        <w:rPr>
          <w:rStyle w:val="Funotenzeichen"/>
          <w:rFonts w:ascii="Calibri" w:hAnsi="Calibri"/>
        </w:rPr>
        <w:footnoteRef/>
      </w:r>
      <w:r>
        <w:rPr>
          <w:rFonts w:ascii="Calibri" w:hAnsi="Calibri"/>
        </w:rPr>
        <w:t xml:space="preserve"> Bodenaushubqualität: Die Qualitätsklasse BA gemäß Bundesabfallwirtschaftsplan 2011 bzw. gemäß Spalte II der Tabellen 1 und 2 der Deponieverordnung 2008 ist einzuhalten.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1B2"/>
    <w:multiLevelType w:val="hybridMultilevel"/>
    <w:tmpl w:val="ED5C6FBC"/>
    <w:lvl w:ilvl="0" w:tplc="C2525B96">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FC1069"/>
    <w:multiLevelType w:val="hybridMultilevel"/>
    <w:tmpl w:val="B98A738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1411036D"/>
    <w:multiLevelType w:val="hybridMultilevel"/>
    <w:tmpl w:val="F446B3D6"/>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15:restartNumberingAfterBreak="0">
    <w:nsid w:val="1541235E"/>
    <w:multiLevelType w:val="hybridMultilevel"/>
    <w:tmpl w:val="775440EE"/>
    <w:lvl w:ilvl="0" w:tplc="F1C82AB2">
      <w:start w:val="1"/>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A47564F"/>
    <w:multiLevelType w:val="hybridMultilevel"/>
    <w:tmpl w:val="B2E45E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CE5BBC"/>
    <w:multiLevelType w:val="hybridMultilevel"/>
    <w:tmpl w:val="623CFFA4"/>
    <w:lvl w:ilvl="0" w:tplc="EF426814">
      <w:start w:val="1"/>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EC6023"/>
    <w:multiLevelType w:val="hybridMultilevel"/>
    <w:tmpl w:val="4ED83E72"/>
    <w:lvl w:ilvl="0" w:tplc="F07664E6">
      <w:start w:val="1"/>
      <w:numFmt w:val="decimal"/>
      <w:lvlText w:val="%1."/>
      <w:lvlJc w:val="left"/>
      <w:pPr>
        <w:ind w:left="1080" w:hanging="360"/>
      </w:pPr>
      <w:rPr>
        <w:rFonts w:cs="Times New Roman" w:hint="default"/>
      </w:rPr>
    </w:lvl>
    <w:lvl w:ilvl="1" w:tplc="0C070019" w:tentative="1">
      <w:start w:val="1"/>
      <w:numFmt w:val="lowerLetter"/>
      <w:lvlText w:val="%2."/>
      <w:lvlJc w:val="left"/>
      <w:pPr>
        <w:ind w:left="1800" w:hanging="360"/>
      </w:pPr>
      <w:rPr>
        <w:rFonts w:cs="Times New Roman"/>
      </w:rPr>
    </w:lvl>
    <w:lvl w:ilvl="2" w:tplc="0C07001B" w:tentative="1">
      <w:start w:val="1"/>
      <w:numFmt w:val="lowerRoman"/>
      <w:lvlText w:val="%3."/>
      <w:lvlJc w:val="right"/>
      <w:pPr>
        <w:ind w:left="2520" w:hanging="180"/>
      </w:pPr>
      <w:rPr>
        <w:rFonts w:cs="Times New Roman"/>
      </w:rPr>
    </w:lvl>
    <w:lvl w:ilvl="3" w:tplc="0C07000F" w:tentative="1">
      <w:start w:val="1"/>
      <w:numFmt w:val="decimal"/>
      <w:lvlText w:val="%4."/>
      <w:lvlJc w:val="left"/>
      <w:pPr>
        <w:ind w:left="3240" w:hanging="360"/>
      </w:pPr>
      <w:rPr>
        <w:rFonts w:cs="Times New Roman"/>
      </w:rPr>
    </w:lvl>
    <w:lvl w:ilvl="4" w:tplc="0C070019" w:tentative="1">
      <w:start w:val="1"/>
      <w:numFmt w:val="lowerLetter"/>
      <w:lvlText w:val="%5."/>
      <w:lvlJc w:val="left"/>
      <w:pPr>
        <w:ind w:left="3960" w:hanging="360"/>
      </w:pPr>
      <w:rPr>
        <w:rFonts w:cs="Times New Roman"/>
      </w:rPr>
    </w:lvl>
    <w:lvl w:ilvl="5" w:tplc="0C07001B" w:tentative="1">
      <w:start w:val="1"/>
      <w:numFmt w:val="lowerRoman"/>
      <w:lvlText w:val="%6."/>
      <w:lvlJc w:val="right"/>
      <w:pPr>
        <w:ind w:left="4680" w:hanging="180"/>
      </w:pPr>
      <w:rPr>
        <w:rFonts w:cs="Times New Roman"/>
      </w:rPr>
    </w:lvl>
    <w:lvl w:ilvl="6" w:tplc="0C07000F" w:tentative="1">
      <w:start w:val="1"/>
      <w:numFmt w:val="decimal"/>
      <w:lvlText w:val="%7."/>
      <w:lvlJc w:val="left"/>
      <w:pPr>
        <w:ind w:left="5400" w:hanging="360"/>
      </w:pPr>
      <w:rPr>
        <w:rFonts w:cs="Times New Roman"/>
      </w:rPr>
    </w:lvl>
    <w:lvl w:ilvl="7" w:tplc="0C070019" w:tentative="1">
      <w:start w:val="1"/>
      <w:numFmt w:val="lowerLetter"/>
      <w:lvlText w:val="%8."/>
      <w:lvlJc w:val="left"/>
      <w:pPr>
        <w:ind w:left="6120" w:hanging="360"/>
      </w:pPr>
      <w:rPr>
        <w:rFonts w:cs="Times New Roman"/>
      </w:rPr>
    </w:lvl>
    <w:lvl w:ilvl="8" w:tplc="0C07001B" w:tentative="1">
      <w:start w:val="1"/>
      <w:numFmt w:val="lowerRoman"/>
      <w:lvlText w:val="%9."/>
      <w:lvlJc w:val="right"/>
      <w:pPr>
        <w:ind w:left="6840" w:hanging="180"/>
      </w:pPr>
      <w:rPr>
        <w:rFonts w:cs="Times New Roman"/>
      </w:rPr>
    </w:lvl>
  </w:abstractNum>
  <w:abstractNum w:abstractNumId="7" w15:restartNumberingAfterBreak="0">
    <w:nsid w:val="219F16ED"/>
    <w:multiLevelType w:val="hybridMultilevel"/>
    <w:tmpl w:val="5FA49B04"/>
    <w:lvl w:ilvl="0" w:tplc="6F826346">
      <w:start w:val="1"/>
      <w:numFmt w:val="upperRoman"/>
      <w:lvlText w:val="%1."/>
      <w:lvlJc w:val="left"/>
      <w:pPr>
        <w:ind w:left="1428"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39FD4CCD"/>
    <w:multiLevelType w:val="hybridMultilevel"/>
    <w:tmpl w:val="7E1C860E"/>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4C232B71"/>
    <w:multiLevelType w:val="hybridMultilevel"/>
    <w:tmpl w:val="A82AFBD6"/>
    <w:lvl w:ilvl="0" w:tplc="1C36B1D8">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50BA3FBE"/>
    <w:multiLevelType w:val="hybridMultilevel"/>
    <w:tmpl w:val="7F8CAF08"/>
    <w:lvl w:ilvl="0" w:tplc="1C36B1D8">
      <w:start w:val="1"/>
      <w:numFmt w:val="bullet"/>
      <w:lvlText w:val=""/>
      <w:lvlJc w:val="left"/>
      <w:pPr>
        <w:ind w:left="720" w:hanging="360"/>
      </w:pPr>
      <w:rPr>
        <w:rFonts w:ascii="Symbol" w:hAnsi="Symbol" w:hint="default"/>
      </w:rPr>
    </w:lvl>
    <w:lvl w:ilvl="1" w:tplc="BF2C9A06">
      <w:numFmt w:val="bullet"/>
      <w:lvlText w:val=""/>
      <w:lvlJc w:val="left"/>
      <w:pPr>
        <w:ind w:left="1440" w:hanging="360"/>
      </w:pPr>
      <w:rPr>
        <w:rFonts w:ascii="Calibri" w:eastAsia="Times New Roman" w:hAnsi="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043CFB"/>
    <w:multiLevelType w:val="hybridMultilevel"/>
    <w:tmpl w:val="3A60EE7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54A4606D"/>
    <w:multiLevelType w:val="hybridMultilevel"/>
    <w:tmpl w:val="CD220C9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3" w15:restartNumberingAfterBreak="0">
    <w:nsid w:val="6FF00E41"/>
    <w:multiLevelType w:val="hybridMultilevel"/>
    <w:tmpl w:val="D1205CF8"/>
    <w:lvl w:ilvl="0" w:tplc="C2525B96">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1424700"/>
    <w:multiLevelType w:val="hybridMultilevel"/>
    <w:tmpl w:val="FACE6098"/>
    <w:lvl w:ilvl="0" w:tplc="C2525B96">
      <w:numFmt w:val="bullet"/>
      <w:lvlText w:val=""/>
      <w:lvlJc w:val="left"/>
      <w:pPr>
        <w:ind w:left="1080" w:hanging="360"/>
      </w:pPr>
      <w:rPr>
        <w:rFonts w:ascii="Calibri" w:eastAsia="Times New Roman" w:hAnsi="Calibri"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4"/>
  </w:num>
  <w:num w:numId="6">
    <w:abstractNumId w:val="9"/>
  </w:num>
  <w:num w:numId="7">
    <w:abstractNumId w:val="10"/>
  </w:num>
  <w:num w:numId="8">
    <w:abstractNumId w:val="13"/>
  </w:num>
  <w:num w:numId="9">
    <w:abstractNumId w:val="8"/>
  </w:num>
  <w:num w:numId="10">
    <w:abstractNumId w:val="6"/>
  </w:num>
  <w:num w:numId="11">
    <w:abstractNumId w:val="1"/>
  </w:num>
  <w:num w:numId="12">
    <w:abstractNumId w:val="11"/>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04"/>
    <w:rsid w:val="00332739"/>
    <w:rsid w:val="00552F41"/>
    <w:rsid w:val="00A014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48F1A4-B72A-4519-9263-3365C285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hAnsi="Trebuchet MS"/>
      <w:lang w:eastAsia="en-US"/>
    </w:rPr>
  </w:style>
  <w:style w:type="paragraph" w:styleId="berschrift1">
    <w:name w:val="heading 1"/>
    <w:basedOn w:val="Standard"/>
    <w:next w:val="Standard"/>
    <w:link w:val="berschrift1Zchn"/>
    <w:uiPriority w:val="99"/>
    <w:qFormat/>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9"/>
    <w:qFormat/>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pPr>
      <w:keepNext/>
      <w:keepLines/>
      <w:spacing w:before="200"/>
      <w:outlineLvl w:val="3"/>
    </w:pPr>
    <w:rPr>
      <w:rFonts w:eastAsia="Times New Roman"/>
      <w:b/>
      <w:bCs/>
      <w:i/>
      <w:iCs/>
    </w:rPr>
  </w:style>
  <w:style w:type="paragraph" w:styleId="berschrift5">
    <w:name w:val="heading 5"/>
    <w:basedOn w:val="Standard"/>
    <w:next w:val="Standard"/>
    <w:link w:val="berschrift5Zchn"/>
    <w:uiPriority w:val="99"/>
    <w:qFormat/>
    <w:pPr>
      <w:keepNext/>
      <w:keepLines/>
      <w:spacing w:before="200"/>
      <w:outlineLvl w:val="4"/>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b/>
      <w:sz w:val="28"/>
    </w:rPr>
  </w:style>
  <w:style w:type="character" w:customStyle="1" w:styleId="berschrift2Zchn">
    <w:name w:val="Überschrift 2 Zchn"/>
    <w:basedOn w:val="Absatz-Standardschriftart"/>
    <w:link w:val="berschrift2"/>
    <w:uiPriority w:val="99"/>
    <w:locked/>
    <w:rPr>
      <w:rFonts w:ascii="Arial" w:hAnsi="Arial"/>
      <w:b/>
      <w:sz w:val="26"/>
    </w:rPr>
  </w:style>
  <w:style w:type="character" w:customStyle="1" w:styleId="berschrift3Zchn">
    <w:name w:val="Überschrift 3 Zchn"/>
    <w:basedOn w:val="Absatz-Standardschriftart"/>
    <w:link w:val="berschrift3"/>
    <w:uiPriority w:val="99"/>
    <w:locked/>
    <w:rPr>
      <w:rFonts w:ascii="Arial" w:hAnsi="Arial"/>
      <w:b/>
      <w:sz w:val="24"/>
    </w:rPr>
  </w:style>
  <w:style w:type="character" w:customStyle="1" w:styleId="berschrift4Zchn">
    <w:name w:val="Überschrift 4 Zchn"/>
    <w:basedOn w:val="Absatz-Standardschriftart"/>
    <w:link w:val="berschrift4"/>
    <w:uiPriority w:val="99"/>
    <w:semiHidden/>
    <w:locked/>
    <w:rPr>
      <w:rFonts w:ascii="Arial" w:hAnsi="Arial"/>
      <w:b/>
      <w:i/>
      <w:sz w:val="24"/>
    </w:rPr>
  </w:style>
  <w:style w:type="character" w:customStyle="1" w:styleId="berschrift5Zchn">
    <w:name w:val="Überschrift 5 Zchn"/>
    <w:basedOn w:val="Absatz-Standardschriftart"/>
    <w:link w:val="berschrift5"/>
    <w:uiPriority w:val="99"/>
    <w:semiHidden/>
    <w:locked/>
    <w:rPr>
      <w:rFonts w:ascii="Arial" w:hAnsi="Arial"/>
      <w:sz w:val="24"/>
    </w:rPr>
  </w:style>
  <w:style w:type="paragraph" w:styleId="Titel">
    <w:name w:val="Title"/>
    <w:basedOn w:val="Standard"/>
    <w:next w:val="Standard"/>
    <w:link w:val="TitelZchn"/>
    <w:uiPriority w:val="99"/>
    <w:qFormat/>
    <w:pPr>
      <w:pBdr>
        <w:bottom w:val="single" w:sz="8" w:space="4" w:color="4F81BD"/>
      </w:pBdr>
      <w:spacing w:after="300" w:line="240" w:lineRule="auto"/>
      <w:contextualSpacing/>
    </w:pPr>
    <w:rPr>
      <w:rFonts w:eastAsia="Times New Roman"/>
      <w:spacing w:val="5"/>
      <w:kern w:val="28"/>
      <w:sz w:val="52"/>
      <w:szCs w:val="52"/>
    </w:rPr>
  </w:style>
  <w:style w:type="character" w:customStyle="1" w:styleId="TitelZchn">
    <w:name w:val="Titel Zchn"/>
    <w:basedOn w:val="Absatz-Standardschriftart"/>
    <w:link w:val="Titel"/>
    <w:uiPriority w:val="99"/>
    <w:locked/>
    <w:rPr>
      <w:rFonts w:ascii="Arial" w:hAnsi="Arial"/>
      <w:spacing w:val="5"/>
      <w:kern w:val="28"/>
      <w:sz w:val="52"/>
    </w:rPr>
  </w:style>
  <w:style w:type="paragraph" w:styleId="Untertitel">
    <w:name w:val="Subtitle"/>
    <w:basedOn w:val="Standard"/>
    <w:next w:val="Standard"/>
    <w:link w:val="UntertitelZchn"/>
    <w:uiPriority w:val="99"/>
    <w:qFormat/>
    <w:pPr>
      <w:numPr>
        <w:ilvl w:val="1"/>
      </w:numPr>
    </w:pPr>
    <w:rPr>
      <w:rFonts w:eastAsia="Times New Roman"/>
      <w:i/>
      <w:iCs/>
      <w:spacing w:val="15"/>
      <w:szCs w:val="24"/>
    </w:rPr>
  </w:style>
  <w:style w:type="character" w:customStyle="1" w:styleId="UntertitelZchn">
    <w:name w:val="Untertitel Zchn"/>
    <w:basedOn w:val="Absatz-Standardschriftart"/>
    <w:link w:val="Untertitel"/>
    <w:uiPriority w:val="99"/>
    <w:locked/>
    <w:rPr>
      <w:rFonts w:ascii="Arial" w:hAnsi="Arial"/>
      <w:i/>
      <w:spacing w:val="15"/>
      <w:sz w:val="24"/>
    </w:rPr>
  </w:style>
  <w:style w:type="paragraph" w:styleId="Kopfzeile">
    <w:name w:val="header"/>
    <w:basedOn w:val="Standard"/>
    <w:link w:val="KopfzeileZchn"/>
    <w:uiPriority w:val="99"/>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Pr>
      <w:rFonts w:ascii="Arial" w:hAnsi="Arial"/>
      <w:sz w:val="24"/>
    </w:rPr>
  </w:style>
  <w:style w:type="paragraph" w:styleId="Fuzeile">
    <w:name w:val="footer"/>
    <w:basedOn w:val="Standard"/>
    <w:link w:val="FuzeileZchn"/>
    <w:uiPriority w:val="99"/>
    <w:pPr>
      <w:tabs>
        <w:tab w:val="center" w:pos="4536"/>
        <w:tab w:val="right" w:pos="9072"/>
      </w:tabs>
      <w:spacing w:line="240" w:lineRule="auto"/>
    </w:pPr>
  </w:style>
  <w:style w:type="character" w:customStyle="1" w:styleId="FuzeileZchn">
    <w:name w:val="Fußzeile Zchn"/>
    <w:basedOn w:val="Absatz-Standardschriftart"/>
    <w:link w:val="Fuzeile"/>
    <w:uiPriority w:val="99"/>
    <w:locked/>
    <w:rPr>
      <w:rFonts w:ascii="Arial" w:hAnsi="Arial"/>
      <w:sz w:val="24"/>
    </w:rPr>
  </w:style>
  <w:style w:type="paragraph" w:customStyle="1" w:styleId="Default">
    <w:name w:val="Default"/>
    <w:uiPriority w:val="99"/>
    <w:pPr>
      <w:autoSpaceDE w:val="0"/>
      <w:autoSpaceDN w:val="0"/>
      <w:adjustRightInd w:val="0"/>
    </w:pPr>
    <w:rPr>
      <w:rFonts w:cs="Calibri"/>
      <w:color w:val="000000"/>
      <w:sz w:val="24"/>
      <w:szCs w:val="24"/>
      <w:lang w:eastAsia="en-US"/>
    </w:rPr>
  </w:style>
  <w:style w:type="paragraph" w:styleId="Endnotentext">
    <w:name w:val="endnote text"/>
    <w:basedOn w:val="Standard"/>
    <w:link w:val="EndnotentextZchn"/>
    <w:uiPriority w:val="99"/>
    <w:semiHidden/>
    <w:pPr>
      <w:spacing w:line="240" w:lineRule="auto"/>
    </w:pPr>
    <w:rPr>
      <w:sz w:val="20"/>
      <w:szCs w:val="20"/>
    </w:rPr>
  </w:style>
  <w:style w:type="character" w:customStyle="1" w:styleId="EndnotentextZchn">
    <w:name w:val="Endnotentext Zchn"/>
    <w:basedOn w:val="Absatz-Standardschriftart"/>
    <w:link w:val="Endnotentext"/>
    <w:uiPriority w:val="99"/>
    <w:semiHidden/>
    <w:locked/>
    <w:rPr>
      <w:rFonts w:ascii="Trebuchet MS" w:hAnsi="Trebuchet MS"/>
      <w:sz w:val="20"/>
    </w:rPr>
  </w:style>
  <w:style w:type="character" w:styleId="Endnotenzeichen">
    <w:name w:val="endnote reference"/>
    <w:basedOn w:val="Absatz-Standardschriftart"/>
    <w:uiPriority w:val="99"/>
    <w:semiHidden/>
    <w:rPr>
      <w:rFonts w:cs="Times New Roman"/>
      <w:vertAlign w:val="superscript"/>
    </w:rPr>
  </w:style>
  <w:style w:type="paragraph" w:styleId="Funotentext">
    <w:name w:val="footnote text"/>
    <w:basedOn w:val="Standard"/>
    <w:link w:val="FunotentextZchn"/>
    <w:uiPriority w:val="99"/>
    <w:semiHidden/>
    <w:pPr>
      <w:spacing w:line="240" w:lineRule="auto"/>
    </w:pPr>
    <w:rPr>
      <w:sz w:val="20"/>
      <w:szCs w:val="20"/>
    </w:rPr>
  </w:style>
  <w:style w:type="character" w:customStyle="1" w:styleId="FunotentextZchn">
    <w:name w:val="Fußnotentext Zchn"/>
    <w:basedOn w:val="Absatz-Standardschriftart"/>
    <w:link w:val="Funotentext"/>
    <w:uiPriority w:val="99"/>
    <w:semiHidden/>
    <w:locked/>
    <w:rPr>
      <w:rFonts w:ascii="Trebuchet MS" w:hAnsi="Trebuchet MS"/>
      <w:sz w:val="20"/>
    </w:rPr>
  </w:style>
  <w:style w:type="character" w:styleId="Funotenzeichen">
    <w:name w:val="footnote reference"/>
    <w:basedOn w:val="Absatz-Standardschriftart"/>
    <w:uiPriority w:val="99"/>
    <w:semiHidden/>
    <w:rPr>
      <w:rFonts w:cs="Times New Roman"/>
      <w:vertAlign w:val="superscript"/>
    </w:rPr>
  </w:style>
  <w:style w:type="paragraph" w:styleId="Sprechblasentext">
    <w:name w:val="Balloon Text"/>
    <w:basedOn w:val="Standard"/>
    <w:link w:val="SprechblasentextZchn"/>
    <w:uiPriority w:val="99"/>
    <w:semiHidde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sz w:val="16"/>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093124-7E10-4ED4-80BC-111D51272D97}"/>
</file>

<file path=customXml/itemProps2.xml><?xml version="1.0" encoding="utf-8"?>
<ds:datastoreItem xmlns:ds="http://schemas.openxmlformats.org/officeDocument/2006/customXml" ds:itemID="{F021CE18-66C6-470D-878C-5998D2BB101E}"/>
</file>

<file path=customXml/itemProps3.xml><?xml version="1.0" encoding="utf-8"?>
<ds:datastoreItem xmlns:ds="http://schemas.openxmlformats.org/officeDocument/2006/customXml" ds:itemID="{ABC674CE-D23B-41ED-966A-98489B72332B}"/>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10851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Dienstbarkeitsvereinbarung</vt:lpstr>
    </vt:vector>
  </TitlesOfParts>
  <Company>Land Salzburg</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Dienstbarkeitsvereinbarung</dc:title>
  <dc:creator>Bernhard Schneckenleithner</dc:creator>
  <cp:lastModifiedBy>Josef Egger</cp:lastModifiedBy>
  <cp:revision>2</cp:revision>
  <cp:lastPrinted>2017-01-19T14:53:00Z</cp:lastPrinted>
  <dcterms:created xsi:type="dcterms:W3CDTF">2018-05-03T11:13:00Z</dcterms:created>
  <dcterms:modified xsi:type="dcterms:W3CDTF">2018-05-03T11:13:00Z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