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0CD" w:rsidRDefault="007F228E">
      <w:pPr>
        <w:spacing w:after="0" w:line="280" w:lineRule="atLeast"/>
        <w:rPr>
          <w:rFonts w:ascii="Trebuchet MS" w:hAnsi="Trebuchet MS"/>
          <w:b/>
        </w:rPr>
      </w:pPr>
      <w:r>
        <w:rPr>
          <w:rFonts w:ascii="Trebuchet MS" w:hAnsi="Trebuchet MS"/>
          <w:b/>
        </w:rPr>
        <w:t>Abänderung von Bringungsrechten im Wege eines Parteienübereinkommens</w:t>
      </w:r>
    </w:p>
    <w:p w:rsidR="00F570CD" w:rsidRDefault="00F570CD">
      <w:pPr>
        <w:spacing w:after="0" w:line="280" w:lineRule="atLeast"/>
        <w:rPr>
          <w:rFonts w:ascii="Trebuchet MS" w:hAnsi="Trebuchet MS"/>
          <w:b/>
        </w:rPr>
      </w:pPr>
    </w:p>
    <w:p w:rsidR="00F570CD" w:rsidRDefault="007F228E">
      <w:pPr>
        <w:spacing w:after="0" w:line="280" w:lineRule="atLeast"/>
        <w:rPr>
          <w:rFonts w:ascii="Trebuchet MS" w:hAnsi="Trebuchet MS"/>
        </w:rPr>
      </w:pPr>
      <w:r>
        <w:rPr>
          <w:rFonts w:ascii="Trebuchet MS" w:hAnsi="Trebuchet MS"/>
        </w:rPr>
        <w:t xml:space="preserve">Parteienübereinkommen zur Änderung des mit Bescheid vom </w:t>
      </w:r>
      <w:r>
        <w:rPr>
          <w:rFonts w:ascii="Trebuchet MS" w:hAnsi="Trebuchet MS"/>
        </w:rPr>
        <w:fldChar w:fldCharType="begin">
          <w:ffData>
            <w:name w:val="Text1"/>
            <w:enabled/>
            <w:calcOnExit w:val="0"/>
            <w:textInput/>
          </w:ffData>
        </w:fldChar>
      </w:r>
      <w:bookmarkStart w:id="0" w:name="Text1"/>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0"/>
      <w:r>
        <w:rPr>
          <w:rFonts w:ascii="Trebuchet MS" w:hAnsi="Trebuchet MS"/>
        </w:rPr>
        <w:t xml:space="preserve"> zu Zl. </w:t>
      </w:r>
      <w:r>
        <w:rPr>
          <w:rFonts w:ascii="Trebuchet MS" w:hAnsi="Trebuchet MS"/>
        </w:rPr>
        <w:fldChar w:fldCharType="begin">
          <w:ffData>
            <w:name w:val="Text2"/>
            <w:enabled/>
            <w:calcOnExit w:val="0"/>
            <w:textInput/>
          </w:ffData>
        </w:fldChar>
      </w:r>
      <w:bookmarkStart w:id="1" w:name="Text2"/>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1"/>
      <w:r>
        <w:rPr>
          <w:rFonts w:ascii="Trebuchet MS" w:hAnsi="Trebuchet MS"/>
        </w:rPr>
        <w:t xml:space="preserve"> eingeräumten Bringungsrechtes:</w:t>
      </w:r>
    </w:p>
    <w:p w:rsidR="00F570CD" w:rsidRDefault="00F570CD">
      <w:pPr>
        <w:spacing w:after="0" w:line="280" w:lineRule="atLeast"/>
        <w:rPr>
          <w:rFonts w:ascii="Trebuchet MS" w:hAnsi="Trebuchet MS"/>
        </w:rPr>
      </w:pPr>
    </w:p>
    <w:p w:rsidR="00F570CD" w:rsidRDefault="007F228E">
      <w:pPr>
        <w:spacing w:after="0" w:line="280" w:lineRule="atLeast"/>
        <w:rPr>
          <w:rFonts w:ascii="Trebuchet MS" w:hAnsi="Trebuchet MS"/>
        </w:rPr>
      </w:pPr>
      <w:r>
        <w:rPr>
          <w:rFonts w:ascii="Trebuchet MS" w:hAnsi="Trebuchet MS"/>
        </w:rPr>
        <w:t>Über das/die nachfolgende/n  Grundstück/e</w:t>
      </w:r>
    </w:p>
    <w:p w:rsidR="00F570CD" w:rsidRDefault="00F570CD">
      <w:pPr>
        <w:spacing w:after="0" w:line="280" w:lineRule="atLeast"/>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6"/>
        <w:gridCol w:w="701"/>
        <w:gridCol w:w="1483"/>
        <w:gridCol w:w="5198"/>
      </w:tblGrid>
      <w:tr w:rsidR="00F570CD">
        <w:tc>
          <w:tcPr>
            <w:tcW w:w="1936" w:type="dxa"/>
            <w:shd w:val="clear" w:color="auto" w:fill="F3F3F3"/>
          </w:tcPr>
          <w:p w:rsidR="00F570CD" w:rsidRDefault="007F228E">
            <w:pPr>
              <w:spacing w:after="0" w:line="240" w:lineRule="auto"/>
              <w:jc w:val="center"/>
              <w:rPr>
                <w:rFonts w:ascii="Trebuchet MS" w:eastAsia="Times New Roman" w:hAnsi="Trebuchet MS" w:cs="Times New Roman"/>
                <w:b/>
                <w:kern w:val="24"/>
                <w:lang w:val="de-DE" w:eastAsia="de-DE"/>
              </w:rPr>
            </w:pPr>
            <w:r>
              <w:rPr>
                <w:rFonts w:ascii="Trebuchet MS" w:eastAsia="Times New Roman" w:hAnsi="Trebuchet MS" w:cs="Times New Roman"/>
                <w:b/>
                <w:kern w:val="24"/>
                <w:lang w:val="de-DE" w:eastAsia="de-DE"/>
              </w:rPr>
              <w:t>Liegenschaft/</w:t>
            </w:r>
          </w:p>
          <w:p w:rsidR="00F570CD" w:rsidRDefault="007F228E">
            <w:pPr>
              <w:spacing w:after="0" w:line="240" w:lineRule="auto"/>
              <w:jc w:val="center"/>
              <w:rPr>
                <w:rFonts w:ascii="Trebuchet MS" w:eastAsia="Times New Roman" w:hAnsi="Trebuchet MS" w:cs="Times New Roman"/>
                <w:b/>
                <w:kern w:val="24"/>
                <w:lang w:val="de-DE" w:eastAsia="de-DE"/>
              </w:rPr>
            </w:pPr>
            <w:r>
              <w:rPr>
                <w:rFonts w:ascii="Trebuchet MS" w:eastAsia="Times New Roman" w:hAnsi="Trebuchet MS" w:cs="Times New Roman"/>
                <w:b/>
                <w:kern w:val="24"/>
                <w:lang w:val="de-DE" w:eastAsia="de-DE"/>
              </w:rPr>
              <w:t>Grundstück</w:t>
            </w:r>
          </w:p>
        </w:tc>
        <w:tc>
          <w:tcPr>
            <w:tcW w:w="724" w:type="dxa"/>
            <w:shd w:val="clear" w:color="auto" w:fill="F3F3F3"/>
          </w:tcPr>
          <w:p w:rsidR="00F570CD" w:rsidRDefault="007F228E">
            <w:pPr>
              <w:spacing w:after="0" w:line="240" w:lineRule="auto"/>
              <w:jc w:val="center"/>
              <w:rPr>
                <w:rFonts w:ascii="Trebuchet MS" w:eastAsia="Times New Roman" w:hAnsi="Trebuchet MS" w:cs="Times New Roman"/>
                <w:b/>
                <w:kern w:val="24"/>
                <w:lang w:val="de-DE" w:eastAsia="de-DE"/>
              </w:rPr>
            </w:pPr>
            <w:r>
              <w:rPr>
                <w:rFonts w:ascii="Trebuchet MS" w:eastAsia="Times New Roman" w:hAnsi="Trebuchet MS" w:cs="Times New Roman"/>
                <w:b/>
                <w:kern w:val="24"/>
                <w:lang w:val="de-DE" w:eastAsia="de-DE"/>
              </w:rPr>
              <w:t>EZ</w:t>
            </w:r>
          </w:p>
        </w:tc>
        <w:tc>
          <w:tcPr>
            <w:tcW w:w="1496" w:type="dxa"/>
            <w:shd w:val="clear" w:color="auto" w:fill="F3F3F3"/>
          </w:tcPr>
          <w:p w:rsidR="00F570CD" w:rsidRDefault="007F228E">
            <w:pPr>
              <w:spacing w:after="0" w:line="240" w:lineRule="auto"/>
              <w:jc w:val="center"/>
              <w:rPr>
                <w:rFonts w:ascii="Trebuchet MS" w:eastAsia="Times New Roman" w:hAnsi="Trebuchet MS" w:cs="Times New Roman"/>
                <w:b/>
                <w:kern w:val="24"/>
                <w:lang w:val="de-DE" w:eastAsia="de-DE"/>
              </w:rPr>
            </w:pPr>
            <w:r>
              <w:rPr>
                <w:rFonts w:ascii="Trebuchet MS" w:eastAsia="Times New Roman" w:hAnsi="Trebuchet MS" w:cs="Times New Roman"/>
                <w:b/>
                <w:kern w:val="24"/>
                <w:lang w:val="de-DE" w:eastAsia="de-DE"/>
              </w:rPr>
              <w:t>Grundbuch</w:t>
            </w:r>
          </w:p>
        </w:tc>
        <w:tc>
          <w:tcPr>
            <w:tcW w:w="5573" w:type="dxa"/>
            <w:shd w:val="clear" w:color="auto" w:fill="F3F3F3"/>
          </w:tcPr>
          <w:p w:rsidR="00F570CD" w:rsidRDefault="007F228E">
            <w:pPr>
              <w:spacing w:after="0" w:line="240" w:lineRule="auto"/>
              <w:jc w:val="center"/>
              <w:rPr>
                <w:rFonts w:ascii="Trebuchet MS" w:eastAsia="Times New Roman" w:hAnsi="Trebuchet MS" w:cs="Times New Roman"/>
                <w:b/>
                <w:kern w:val="24"/>
                <w:lang w:val="de-DE" w:eastAsia="de-DE"/>
              </w:rPr>
            </w:pPr>
            <w:r>
              <w:rPr>
                <w:rFonts w:ascii="Trebuchet MS" w:eastAsia="Times New Roman" w:hAnsi="Trebuchet MS" w:cs="Times New Roman"/>
                <w:b/>
                <w:kern w:val="24"/>
                <w:lang w:val="de-DE" w:eastAsia="de-DE"/>
              </w:rPr>
              <w:t>Eigentümer</w:t>
            </w:r>
          </w:p>
        </w:tc>
      </w:tr>
      <w:tr w:rsidR="00F570CD">
        <w:tc>
          <w:tcPr>
            <w:tcW w:w="1936"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p w:rsidR="00F570CD" w:rsidRDefault="00F570CD">
            <w:pPr>
              <w:spacing w:after="0" w:line="240" w:lineRule="auto"/>
              <w:rPr>
                <w:rFonts w:ascii="Trebuchet MS" w:eastAsia="Times New Roman" w:hAnsi="Trebuchet MS" w:cs="Times New Roman"/>
                <w:kern w:val="24"/>
                <w:lang w:val="de-DE" w:eastAsia="de-DE"/>
              </w:rPr>
            </w:pPr>
          </w:p>
        </w:tc>
        <w:tc>
          <w:tcPr>
            <w:tcW w:w="724"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c>
          <w:tcPr>
            <w:tcW w:w="1496"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c>
          <w:tcPr>
            <w:tcW w:w="5573"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r>
      <w:tr w:rsidR="00F570CD">
        <w:tc>
          <w:tcPr>
            <w:tcW w:w="1936"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p w:rsidR="00F570CD" w:rsidRDefault="00F570CD">
            <w:pPr>
              <w:spacing w:after="0" w:line="240" w:lineRule="auto"/>
              <w:rPr>
                <w:rFonts w:ascii="Trebuchet MS" w:eastAsia="Times New Roman" w:hAnsi="Trebuchet MS" w:cs="Times New Roman"/>
                <w:kern w:val="24"/>
                <w:lang w:val="de-DE" w:eastAsia="de-DE"/>
              </w:rPr>
            </w:pPr>
          </w:p>
        </w:tc>
        <w:tc>
          <w:tcPr>
            <w:tcW w:w="724"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c>
          <w:tcPr>
            <w:tcW w:w="1496"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c>
          <w:tcPr>
            <w:tcW w:w="5573"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r>
      <w:tr w:rsidR="00F570CD">
        <w:tc>
          <w:tcPr>
            <w:tcW w:w="1936"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p w:rsidR="00F570CD" w:rsidRDefault="00F570CD">
            <w:pPr>
              <w:spacing w:after="0" w:line="240" w:lineRule="auto"/>
              <w:rPr>
                <w:rFonts w:ascii="Trebuchet MS" w:eastAsia="Times New Roman" w:hAnsi="Trebuchet MS" w:cs="Times New Roman"/>
                <w:kern w:val="24"/>
                <w:lang w:val="de-DE" w:eastAsia="de-DE"/>
              </w:rPr>
            </w:pPr>
          </w:p>
        </w:tc>
        <w:tc>
          <w:tcPr>
            <w:tcW w:w="724"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c>
          <w:tcPr>
            <w:tcW w:w="1496"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c>
          <w:tcPr>
            <w:tcW w:w="5573"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r>
      <w:tr w:rsidR="00F570CD">
        <w:tc>
          <w:tcPr>
            <w:tcW w:w="1936"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p w:rsidR="00F570CD" w:rsidRDefault="00F570CD">
            <w:pPr>
              <w:spacing w:after="0" w:line="240" w:lineRule="auto"/>
              <w:rPr>
                <w:rFonts w:ascii="Trebuchet MS" w:eastAsia="Times New Roman" w:hAnsi="Trebuchet MS" w:cs="Times New Roman"/>
                <w:kern w:val="24"/>
                <w:lang w:val="de-DE" w:eastAsia="de-DE"/>
              </w:rPr>
            </w:pPr>
          </w:p>
        </w:tc>
        <w:tc>
          <w:tcPr>
            <w:tcW w:w="724"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c>
          <w:tcPr>
            <w:tcW w:w="1496"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c>
          <w:tcPr>
            <w:tcW w:w="5573" w:type="dxa"/>
            <w:shd w:val="clear" w:color="auto" w:fill="auto"/>
          </w:tcPr>
          <w:p w:rsidR="00F570CD" w:rsidRDefault="00F570CD">
            <w:pPr>
              <w:spacing w:after="0" w:line="240" w:lineRule="auto"/>
              <w:rPr>
                <w:rFonts w:ascii="Trebuchet MS" w:eastAsia="Times New Roman" w:hAnsi="Trebuchet MS" w:cs="Times New Roman"/>
                <w:kern w:val="24"/>
                <w:lang w:val="de-DE" w:eastAsia="de-DE"/>
              </w:rPr>
            </w:pPr>
          </w:p>
        </w:tc>
      </w:tr>
    </w:tbl>
    <w:p w:rsidR="00F570CD" w:rsidRDefault="00F570CD">
      <w:pPr>
        <w:spacing w:after="0" w:line="280" w:lineRule="atLeast"/>
        <w:rPr>
          <w:rFonts w:ascii="Trebuchet MS" w:hAnsi="Trebuchet MS"/>
        </w:rPr>
      </w:pPr>
    </w:p>
    <w:p w:rsidR="00F570CD" w:rsidRDefault="007F228E">
      <w:pPr>
        <w:spacing w:after="0" w:line="280" w:lineRule="atLeast"/>
        <w:rPr>
          <w:rFonts w:ascii="Trebuchet MS" w:hAnsi="Trebuchet MS"/>
          <w:i/>
        </w:rPr>
      </w:pPr>
      <w:r>
        <w:rPr>
          <w:rFonts w:ascii="Trebuchet MS" w:hAnsi="Trebuchet MS"/>
        </w:rPr>
        <w:t xml:space="preserve">wird das Bringungsrecht dahingehend geändert, dass </w:t>
      </w:r>
      <w:r w:rsidRPr="006226BE">
        <w:rPr>
          <w:rFonts w:ascii="Trebuchet MS" w:hAnsi="Trebuchet MS"/>
        </w:rPr>
        <w:fldChar w:fldCharType="begin">
          <w:ffData>
            <w:name w:val="Text3"/>
            <w:enabled/>
            <w:calcOnExit w:val="0"/>
            <w:textInput/>
          </w:ffData>
        </w:fldChar>
      </w:r>
      <w:bookmarkStart w:id="2" w:name="Text3"/>
      <w:r w:rsidRPr="006226BE">
        <w:rPr>
          <w:rFonts w:ascii="Trebuchet MS" w:hAnsi="Trebuchet MS"/>
        </w:rPr>
        <w:instrText xml:space="preserve"> FORMTEXT </w:instrText>
      </w:r>
      <w:r w:rsidRPr="006226BE">
        <w:rPr>
          <w:rFonts w:ascii="Trebuchet MS" w:hAnsi="Trebuchet MS"/>
        </w:rPr>
      </w:r>
      <w:r w:rsidRPr="006226BE">
        <w:rPr>
          <w:rFonts w:ascii="Trebuchet MS" w:hAnsi="Trebuchet MS"/>
        </w:rPr>
        <w:fldChar w:fldCharType="separate"/>
      </w:r>
      <w:r w:rsidRPr="006226BE">
        <w:rPr>
          <w:rFonts w:ascii="Trebuchet MS" w:hAnsi="Trebuchet MS"/>
          <w:noProof/>
        </w:rPr>
        <w:t> </w:t>
      </w:r>
      <w:r w:rsidRPr="006226BE">
        <w:rPr>
          <w:rFonts w:ascii="Trebuchet MS" w:hAnsi="Trebuchet MS"/>
          <w:noProof/>
        </w:rPr>
        <w:t> </w:t>
      </w:r>
      <w:r w:rsidRPr="006226BE">
        <w:rPr>
          <w:rFonts w:ascii="Trebuchet MS" w:hAnsi="Trebuchet MS"/>
          <w:noProof/>
        </w:rPr>
        <w:t> </w:t>
      </w:r>
      <w:r w:rsidRPr="006226BE">
        <w:rPr>
          <w:rFonts w:ascii="Trebuchet MS" w:hAnsi="Trebuchet MS"/>
          <w:noProof/>
        </w:rPr>
        <w:t> </w:t>
      </w:r>
      <w:r w:rsidRPr="006226BE">
        <w:rPr>
          <w:rFonts w:ascii="Trebuchet MS" w:hAnsi="Trebuchet MS"/>
          <w:noProof/>
        </w:rPr>
        <w:t> </w:t>
      </w:r>
      <w:r w:rsidRPr="006226BE">
        <w:rPr>
          <w:rFonts w:ascii="Trebuchet MS" w:hAnsi="Trebuchet MS"/>
        </w:rPr>
        <w:fldChar w:fldCharType="end"/>
      </w:r>
      <w:bookmarkEnd w:id="2"/>
      <w:r>
        <w:rPr>
          <w:rFonts w:ascii="Trebuchet MS" w:hAnsi="Trebuchet MS"/>
          <w:i/>
        </w:rPr>
        <w:t xml:space="preserve"> (genaue örtliche Beschreibung). </w:t>
      </w:r>
    </w:p>
    <w:p w:rsidR="00F570CD" w:rsidRDefault="007F228E">
      <w:pPr>
        <w:spacing w:after="0" w:line="280" w:lineRule="atLeast"/>
        <w:rPr>
          <w:rFonts w:ascii="Trebuchet MS" w:hAnsi="Trebuchet MS"/>
        </w:rPr>
      </w:pPr>
      <w:r>
        <w:rPr>
          <w:rFonts w:ascii="Trebuchet MS" w:hAnsi="Trebuchet MS"/>
        </w:rPr>
        <w:t xml:space="preserve">Der Verlauf des neuen Bringungsrechtes ist im beiliegenden Lageplan des Amtes der Salzburger Landesregierung Projektnummer </w:t>
      </w:r>
      <w:r>
        <w:rPr>
          <w:rFonts w:ascii="Trebuchet MS" w:hAnsi="Trebuchet MS"/>
        </w:rPr>
        <w:fldChar w:fldCharType="begin">
          <w:ffData>
            <w:name w:val="Text4"/>
            <w:enabled/>
            <w:calcOnExit w:val="0"/>
            <w:textInput/>
          </w:ffData>
        </w:fldChar>
      </w:r>
      <w:bookmarkStart w:id="3" w:name="Text4"/>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3"/>
      <w:r>
        <w:rPr>
          <w:rFonts w:ascii="Trebuchet MS" w:hAnsi="Trebuchet MS"/>
        </w:rPr>
        <w:t xml:space="preserve">, ausgearbeitet am </w:t>
      </w:r>
      <w:r>
        <w:rPr>
          <w:rFonts w:ascii="Trebuchet MS" w:hAnsi="Trebuchet MS"/>
        </w:rPr>
        <w:fldChar w:fldCharType="begin">
          <w:ffData>
            <w:name w:val="Text5"/>
            <w:enabled/>
            <w:calcOnExit w:val="0"/>
            <w:textInput/>
          </w:ffData>
        </w:fldChar>
      </w:r>
      <w:bookmarkStart w:id="4" w:name="Text5"/>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4"/>
      <w:r>
        <w:rPr>
          <w:rFonts w:ascii="Trebuchet MS" w:hAnsi="Trebuchet MS"/>
        </w:rPr>
        <w:t>, zu entnehmen.</w:t>
      </w:r>
    </w:p>
    <w:p w:rsidR="00F570CD" w:rsidRDefault="00F570CD">
      <w:pPr>
        <w:spacing w:after="0" w:line="280" w:lineRule="atLeast"/>
        <w:rPr>
          <w:rFonts w:ascii="Trebuchet MS" w:hAnsi="Trebuchet MS"/>
        </w:rPr>
      </w:pPr>
    </w:p>
    <w:p w:rsidR="00F570CD" w:rsidRDefault="007F228E">
      <w:pPr>
        <w:spacing w:after="0" w:line="280" w:lineRule="atLeast"/>
        <w:rPr>
          <w:rFonts w:ascii="Trebuchet MS" w:hAnsi="Trebuchet MS"/>
        </w:rPr>
      </w:pPr>
      <w:r>
        <w:rPr>
          <w:rFonts w:ascii="Trebuchet MS" w:hAnsi="Trebuchet MS"/>
        </w:rPr>
        <w:t xml:space="preserve">Der Bringungsberechtigt  bzw. die/der Grundeigentümer verpflichtet sich die für die Änderung /Erweiterung der Bringungsanlage </w:t>
      </w:r>
      <w:r>
        <w:rPr>
          <w:rFonts w:ascii="Trebuchet MS" w:hAnsi="Trebuchet MS"/>
        </w:rPr>
        <w:fldChar w:fldCharType="begin">
          <w:ffData>
            <w:name w:val="Text6"/>
            <w:enabled/>
            <w:calcOnExit w:val="0"/>
            <w:textInput/>
          </w:ffData>
        </w:fldChar>
      </w:r>
      <w:bookmarkStart w:id="5" w:name="Text6"/>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5"/>
      <w:r>
        <w:rPr>
          <w:rFonts w:ascii="Trebuchet MS" w:hAnsi="Trebuchet MS"/>
        </w:rPr>
        <w:t xml:space="preserve"> in </w:t>
      </w:r>
      <w:r>
        <w:rPr>
          <w:rFonts w:ascii="Trebuchet MS" w:hAnsi="Trebuchet MS"/>
        </w:rPr>
        <w:fldChar w:fldCharType="begin">
          <w:ffData>
            <w:name w:val="Text7"/>
            <w:enabled/>
            <w:calcOnExit w:val="0"/>
            <w:textInput/>
          </w:ffData>
        </w:fldChar>
      </w:r>
      <w:bookmarkStart w:id="6" w:name="Text7"/>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6"/>
      <w:r>
        <w:rPr>
          <w:rFonts w:ascii="Trebuchet MS" w:hAnsi="Trebuchet MS"/>
        </w:rPr>
        <w:t xml:space="preserve"> beanspruchten Flächen in das Eigentum der Bringungsgemeinschaft zu übertragen und stimmt hiermit ausdrücklich ihrer Grundinanspruchnahme zu. Gleichzeitig wird auch die Zustimmung zur Grenzbegehung (Vermessung des neu zu errichtenden Teiles der Bringungsanlage), sowie in weiterer Folge zur Abtretung dieser Wegfläche in das Eigentum der Bringungsgemeinschaft </w:t>
      </w:r>
      <w:r>
        <w:rPr>
          <w:rFonts w:ascii="Trebuchet MS" w:hAnsi="Trebuchet MS"/>
        </w:rPr>
        <w:fldChar w:fldCharType="begin">
          <w:ffData>
            <w:name w:val="Text8"/>
            <w:enabled/>
            <w:calcOnExit w:val="0"/>
            <w:textInput/>
          </w:ffData>
        </w:fldChar>
      </w:r>
      <w:bookmarkStart w:id="7" w:name="Text8"/>
      <w:r>
        <w:rPr>
          <w:rFonts w:ascii="Trebuchet MS" w:hAnsi="Trebuchet MS"/>
        </w:rPr>
        <w:instrText xml:space="preserve"> FORMTEXT </w:instrText>
      </w:r>
      <w:r>
        <w:rPr>
          <w:rFonts w:ascii="Trebuchet MS" w:hAnsi="Trebuchet MS"/>
        </w:rPr>
      </w:r>
      <w:r>
        <w:rPr>
          <w:rFonts w:ascii="Trebuchet MS" w:hAnsi="Trebuchet MS"/>
        </w:rPr>
        <w:fldChar w:fldCharType="separate"/>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noProof/>
        </w:rPr>
        <w:t> </w:t>
      </w:r>
      <w:r>
        <w:rPr>
          <w:rFonts w:ascii="Trebuchet MS" w:hAnsi="Trebuchet MS"/>
        </w:rPr>
        <w:fldChar w:fldCharType="end"/>
      </w:r>
      <w:bookmarkEnd w:id="7"/>
      <w:r>
        <w:rPr>
          <w:rFonts w:ascii="Trebuchet MS" w:hAnsi="Trebuchet MS"/>
        </w:rPr>
        <w:t xml:space="preserve"> erteilt. </w:t>
      </w:r>
    </w:p>
    <w:p w:rsidR="00F570CD" w:rsidRDefault="00F570CD">
      <w:pPr>
        <w:spacing w:after="0" w:line="280" w:lineRule="atLeast"/>
        <w:rPr>
          <w:rFonts w:ascii="Trebuchet MS" w:hAnsi="Trebuchet MS"/>
        </w:rPr>
      </w:pPr>
    </w:p>
    <w:p w:rsidR="00E535D4" w:rsidRDefault="00E535D4">
      <w:pPr>
        <w:spacing w:after="0" w:line="280" w:lineRule="atLeast"/>
        <w:rPr>
          <w:rFonts w:ascii="Trebuchet MS" w:hAnsi="Trebuchet MS"/>
        </w:rPr>
      </w:pPr>
      <w:r w:rsidRPr="00E535D4">
        <w:rPr>
          <w:rFonts w:ascii="Trebuchet MS" w:hAnsi="Trebuchet MS"/>
        </w:rPr>
        <w:t>Die Eigentümer stimmen für sich und Ihre Rechtsnachfolger schon jetzt einer Einbeziehung von nicht land- und forstwirtschaftlichen Liegenschaften durch die Agrarbehörde zu.</w:t>
      </w:r>
    </w:p>
    <w:p w:rsidR="00E535D4" w:rsidRDefault="00E535D4">
      <w:pPr>
        <w:spacing w:after="0" w:line="280" w:lineRule="atLeast"/>
        <w:rPr>
          <w:rFonts w:ascii="Trebuchet MS" w:hAnsi="Trebuchet MS"/>
        </w:rPr>
      </w:pPr>
      <w:bookmarkStart w:id="8" w:name="_GoBack"/>
      <w:bookmarkEnd w:id="8"/>
    </w:p>
    <w:p w:rsidR="00F570CD" w:rsidRDefault="007F228E">
      <w:pPr>
        <w:spacing w:after="0" w:line="280" w:lineRule="atLeast"/>
        <w:rPr>
          <w:rFonts w:ascii="Trebuchet MS" w:hAnsi="Trebuchet MS"/>
        </w:rPr>
      </w:pPr>
      <w:r>
        <w:rPr>
          <w:rFonts w:ascii="Trebuchet MS" w:hAnsi="Trebuchet MS"/>
        </w:rPr>
        <w:t>Die Parteien beantragen die Genehmigung dieses Übereinkommens durch die Agrarbehörde.</w:t>
      </w:r>
    </w:p>
    <w:p w:rsidR="00F570CD" w:rsidRDefault="00F570CD">
      <w:pPr>
        <w:spacing w:after="0" w:line="280" w:lineRule="atLeast"/>
        <w:rPr>
          <w:rFonts w:ascii="Trebuchet MS" w:hAnsi="Trebuchet MS"/>
        </w:rPr>
      </w:pPr>
    </w:p>
    <w:p w:rsidR="00F570CD" w:rsidRDefault="00F570CD">
      <w:pPr>
        <w:spacing w:after="0" w:line="280" w:lineRule="atLeast"/>
        <w:rPr>
          <w:rFonts w:ascii="Trebuchet MS" w:hAnsi="Trebuchet MS"/>
        </w:rPr>
      </w:pPr>
    </w:p>
    <w:p w:rsidR="00F570CD" w:rsidRDefault="007F228E">
      <w:pPr>
        <w:spacing w:after="0" w:line="280" w:lineRule="atLeast"/>
        <w:rPr>
          <w:rFonts w:ascii="Trebuchet MS" w:hAnsi="Trebuchet MS"/>
        </w:rPr>
      </w:pPr>
      <w:r>
        <w:rPr>
          <w:rFonts w:ascii="Trebuchet MS" w:hAnsi="Trebuchet MS"/>
        </w:rPr>
        <w:t>Unterschrift der Bringungsberechtigten/aller Mitglieder der Bringungsgemeinschaft sowie der betroffenen Grundeigentümer</w:t>
      </w:r>
    </w:p>
    <w:p w:rsidR="00F570CD" w:rsidRDefault="00F570CD"/>
    <w:sectPr w:rsidR="00F570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0CD"/>
    <w:rsid w:val="006226BE"/>
    <w:rsid w:val="007F228E"/>
    <w:rsid w:val="00E535D4"/>
    <w:rsid w:val="00F570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F7C0"/>
  <w15:docId w15:val="{B6C0A19C-B694-45A1-ACAC-8C3C74770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C680E9C8F5C44C95B1E436CCF42B87" ma:contentTypeVersion="1" ma:contentTypeDescription="Ein neues Dokument erstellen." ma:contentTypeScope="" ma:versionID="8260cbfe8a1c550272ef5cf5f0f76260">
  <xsd:schema xmlns:xsd="http://www.w3.org/2001/XMLSchema" xmlns:xs="http://www.w3.org/2001/XMLSchema" xmlns:p="http://schemas.microsoft.com/office/2006/metadata/properties" xmlns:ns2="3ea499ce-4cdb-4ab8-9eb4-4223893901be" targetNamespace="http://schemas.microsoft.com/office/2006/metadata/properties" ma:root="true" ma:fieldsID="c36afa644fa46a7574a805a0d4691f0b" ns2:_="">
    <xsd:import namespace="3ea499ce-4cdb-4ab8-9eb4-4223893901be"/>
    <xsd:element name="properties">
      <xsd:complexType>
        <xsd:sequence>
          <xsd:element name="documentManagement">
            <xsd:complexType>
              <xsd:all>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8"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documentManagement>
</p:properties>
</file>

<file path=customXml/itemProps1.xml><?xml version="1.0" encoding="utf-8"?>
<ds:datastoreItem xmlns:ds="http://schemas.openxmlformats.org/officeDocument/2006/customXml" ds:itemID="{ACE33DE5-8378-476A-AC05-A906A209CF53}"/>
</file>

<file path=customXml/itemProps2.xml><?xml version="1.0" encoding="utf-8"?>
<ds:datastoreItem xmlns:ds="http://schemas.openxmlformats.org/officeDocument/2006/customXml" ds:itemID="{FF38BF60-9EFB-4ED0-824E-12D004C1B418}"/>
</file>

<file path=customXml/itemProps3.xml><?xml version="1.0" encoding="utf-8"?>
<ds:datastoreItem xmlns:ds="http://schemas.openxmlformats.org/officeDocument/2006/customXml" ds:itemID="{5FC2C66A-4F57-4322-B4C9-22CDE7022200}"/>
</file>

<file path=docProps/app.xml><?xml version="1.0" encoding="utf-8"?>
<Properties xmlns="http://schemas.openxmlformats.org/officeDocument/2006/extended-properties" xmlns:vt="http://schemas.openxmlformats.org/officeDocument/2006/docPropsVTypes">
  <Template>Normal.dotm</Template>
  <TotalTime>0</TotalTime>
  <Pages>1</Pages>
  <Words>214</Words>
  <Characters>1352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GWEV-aenderung-bringungsrechte</dc:title>
  <dc:creator>Sandra Handlechner</dc:creator>
  <cp:keywords/>
  <dc:description/>
  <cp:lastModifiedBy>Keplinger Reija</cp:lastModifiedBy>
  <cp:revision>5</cp:revision>
  <dcterms:created xsi:type="dcterms:W3CDTF">2018-05-18T07:43:00Z</dcterms:created>
  <dcterms:modified xsi:type="dcterms:W3CDTF">2018-07-26T09:02:00Z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0x010100BBC680E9C8F5C44C95B1E436CCF42B87</vt:lpwstr>
  </property>
  <property fmtid="{D5CDD505-2E9C-101B-9397-08002B2CF9AE}" pid="3" name="Order">
    <vt:r8>78900</vt:r8>
  </property>
  <property fmtid="{D5CDD505-2E9C-101B-9397-08002B2CF9AE}" pid="4" name="TemplateUrl">
    <vt:lpwstr/>
  </property>
  <property fmtid="{D5CDD505-2E9C-101B-9397-08002B2CF9AE}" pid="5" name="SPCmsImageLink">
    <vt:lpwstr/>
  </property>
  <property fmtid="{D5CDD505-2E9C-101B-9397-08002B2CF9AE}" pid="6" name="xd_Signature">
    <vt:bool>false</vt:bool>
  </property>
  <property fmtid="{D5CDD505-2E9C-101B-9397-08002B2CF9AE}" pid="7" name="xd_ProgID">
    <vt:lpwstr/>
  </property>
  <property fmtid="{D5CDD505-2E9C-101B-9397-08002B2CF9AE}" pid="10" name="vti_imgdate">
    <vt:lpwstr/>
  </property>
  <property fmtid="{D5CDD505-2E9C-101B-9397-08002B2CF9AE}" pid="11" name="wic_System_Copyright">
    <vt:lpwstr/>
  </property>
  <property fmtid="{D5CDD505-2E9C-101B-9397-08002B2CF9AE}" pid="12" name="_SourceUrl">
    <vt:lpwstr/>
  </property>
  <property fmtid="{D5CDD505-2E9C-101B-9397-08002B2CF9AE}" pid="13" name="_SharedFileIndex">
    <vt:lpwstr/>
  </property>
</Properties>
</file>