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D3A5" w14:textId="77777777" w:rsidR="00885567" w:rsidRPr="00885567" w:rsidRDefault="00885567" w:rsidP="007262EB">
      <w:pPr>
        <w:jc w:val="center"/>
        <w:rPr>
          <w:rFonts w:ascii="Arial" w:eastAsia="Times New Roman" w:hAnsi="Arial" w:cs="Arial"/>
          <w:b/>
          <w:bCs/>
          <w:spacing w:val="20"/>
          <w:sz w:val="24"/>
          <w:szCs w:val="24"/>
          <w:lang w:val="de-DE" w:eastAsia="de-DE"/>
        </w:rPr>
      </w:pPr>
    </w:p>
    <w:p w14:paraId="000D5602" w14:textId="6A98B4DC" w:rsidR="00824D4A" w:rsidRDefault="00495F8C" w:rsidP="00885567">
      <w:pPr>
        <w:spacing w:after="0"/>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t>Infoblatt</w:t>
      </w:r>
      <w:r w:rsidR="00A976C1" w:rsidRPr="00A976C1">
        <w:rPr>
          <w:rFonts w:ascii="Arial" w:eastAsia="Times New Roman" w:hAnsi="Arial" w:cs="Arial"/>
          <w:b/>
          <w:bCs/>
          <w:spacing w:val="20"/>
          <w:sz w:val="40"/>
          <w:szCs w:val="20"/>
          <w:lang w:val="de-DE" w:eastAsia="de-DE"/>
        </w:rPr>
        <w:t xml:space="preserve"> </w:t>
      </w:r>
      <w:r w:rsidR="00C65AA8">
        <w:rPr>
          <w:rFonts w:ascii="Arial" w:eastAsia="Times New Roman" w:hAnsi="Arial" w:cs="Arial"/>
          <w:b/>
          <w:bCs/>
          <w:spacing w:val="20"/>
          <w:sz w:val="40"/>
          <w:szCs w:val="20"/>
          <w:lang w:val="de-DE" w:eastAsia="de-DE"/>
        </w:rPr>
        <w:t xml:space="preserve">Referenzkosten VHA 6.4.1 </w:t>
      </w:r>
      <w:r w:rsidR="00D307C7">
        <w:rPr>
          <w:rFonts w:ascii="Arial" w:eastAsia="Times New Roman" w:hAnsi="Arial" w:cs="Arial"/>
          <w:b/>
          <w:bCs/>
          <w:spacing w:val="20"/>
          <w:sz w:val="40"/>
          <w:szCs w:val="20"/>
          <w:lang w:val="de-DE" w:eastAsia="de-DE"/>
        </w:rPr>
        <w:t>-</w:t>
      </w:r>
      <w:r w:rsidR="00C65AA8">
        <w:rPr>
          <w:rFonts w:ascii="Arial" w:eastAsia="Times New Roman" w:hAnsi="Arial" w:cs="Arial"/>
          <w:b/>
          <w:bCs/>
          <w:spacing w:val="20"/>
          <w:sz w:val="40"/>
          <w:szCs w:val="20"/>
          <w:lang w:val="de-DE" w:eastAsia="de-DE"/>
        </w:rPr>
        <w:t>Diversifizierung</w:t>
      </w:r>
      <w:r w:rsidR="00A976C1" w:rsidRPr="00A976C1">
        <w:rPr>
          <w:rFonts w:ascii="Arial" w:eastAsia="Times New Roman" w:hAnsi="Arial" w:cs="Arial"/>
          <w:b/>
          <w:bCs/>
          <w:spacing w:val="20"/>
          <w:sz w:val="40"/>
          <w:szCs w:val="20"/>
          <w:lang w:val="de-DE" w:eastAsia="de-DE"/>
        </w:rPr>
        <w:t xml:space="preserve"> </w:t>
      </w:r>
      <w:r w:rsidR="00D307C7" w:rsidRPr="00D307C7">
        <w:rPr>
          <w:rFonts w:ascii="Arial" w:eastAsia="Times New Roman" w:hAnsi="Arial" w:cs="Arial"/>
          <w:b/>
          <w:bCs/>
          <w:spacing w:val="20"/>
          <w:sz w:val="40"/>
          <w:szCs w:val="20"/>
          <w:lang w:val="de-DE" w:eastAsia="de-DE"/>
        </w:rPr>
        <w:t>hin zu nichtlandwirtschaftlichen Tätigkeiten</w:t>
      </w:r>
    </w:p>
    <w:p w14:paraId="3BC52E29" w14:textId="77777777" w:rsidR="00885567" w:rsidRPr="00885567" w:rsidRDefault="00885567" w:rsidP="007262EB">
      <w:pPr>
        <w:jc w:val="center"/>
        <w:rPr>
          <w:rFonts w:ascii="Arial" w:eastAsia="Times New Roman" w:hAnsi="Arial" w:cs="Arial"/>
          <w:b/>
          <w:bCs/>
          <w:spacing w:val="20"/>
          <w:sz w:val="24"/>
          <w:szCs w:val="24"/>
          <w:lang w:val="de-DE" w:eastAsia="de-DE"/>
        </w:rPr>
      </w:pPr>
    </w:p>
    <w:p w14:paraId="72F40FC9" w14:textId="77777777" w:rsidR="00A976C1" w:rsidRPr="00AB7AB9" w:rsidRDefault="00A976C1" w:rsidP="007E4F46">
      <w:pPr>
        <w:pStyle w:val="Listenabsatz"/>
        <w:keepNext/>
        <w:shd w:val="clear" w:color="auto" w:fill="006600"/>
        <w:spacing w:before="160" w:after="120" w:line="240" w:lineRule="auto"/>
        <w:ind w:left="0"/>
        <w:outlineLvl w:val="0"/>
        <w:rPr>
          <w:rFonts w:ascii="Arial" w:eastAsia="Times New Roman" w:hAnsi="Arial" w:cs="Arial"/>
          <w:b/>
          <w:bCs/>
          <w:kern w:val="32"/>
          <w:sz w:val="28"/>
          <w:szCs w:val="32"/>
          <w:lang w:val="de-DE" w:eastAsia="de-DE"/>
        </w:rPr>
      </w:pPr>
      <w:r>
        <w:rPr>
          <w:rFonts w:ascii="Arial" w:eastAsia="Times New Roman" w:hAnsi="Arial" w:cs="Arial"/>
          <w:b/>
          <w:bCs/>
          <w:kern w:val="32"/>
          <w:sz w:val="28"/>
          <w:szCs w:val="32"/>
          <w:lang w:val="de-DE" w:eastAsia="de-DE"/>
        </w:rPr>
        <w:t>Allgemeine Informationen</w:t>
      </w:r>
    </w:p>
    <w:p w14:paraId="6161D2FA" w14:textId="429F3525" w:rsidR="00C65AA8" w:rsidRDefault="00C65AA8" w:rsidP="00C65AA8">
      <w:pPr>
        <w:spacing w:before="120" w:after="120" w:line="300" w:lineRule="auto"/>
        <w:rPr>
          <w:rFonts w:ascii="Arial" w:hAnsi="Arial" w:cs="Arial"/>
          <w:sz w:val="24"/>
          <w:szCs w:val="24"/>
          <w:lang w:val="de-DE"/>
        </w:rPr>
      </w:pPr>
      <w:r>
        <w:rPr>
          <w:rFonts w:ascii="Arial" w:hAnsi="Arial" w:cs="Arial"/>
          <w:sz w:val="24"/>
          <w:szCs w:val="24"/>
          <w:lang w:val="de-DE"/>
        </w:rPr>
        <w:t xml:space="preserve">Ab sofort stehen für alle Förderungsanträge, die noch nicht genehmigt sind, bzw. die erst zukünftig eingereicht werden für die Plausibilisierung der Einrichtungs- und Ausstattungskosten Referenzkosten zur Verfügung. </w:t>
      </w:r>
    </w:p>
    <w:p w14:paraId="310F3E95" w14:textId="1DFEFF0B" w:rsidR="00C65AA8" w:rsidRPr="00C65AA8" w:rsidRDefault="00C65AA8" w:rsidP="00C65AA8">
      <w:pPr>
        <w:spacing w:before="120" w:after="120" w:line="300" w:lineRule="auto"/>
        <w:rPr>
          <w:rFonts w:ascii="Arial" w:hAnsi="Arial" w:cs="Arial"/>
          <w:sz w:val="24"/>
          <w:szCs w:val="24"/>
          <w:lang w:val="de-DE"/>
        </w:rPr>
      </w:pPr>
      <w:r>
        <w:rPr>
          <w:rFonts w:ascii="Arial" w:hAnsi="Arial" w:cs="Arial"/>
          <w:sz w:val="24"/>
          <w:szCs w:val="24"/>
          <w:lang w:val="de-DE"/>
        </w:rPr>
        <w:t>Sie sollen die Abwicklung der</w:t>
      </w:r>
      <w:r w:rsidRPr="00C65AA8">
        <w:rPr>
          <w:rFonts w:ascii="Arial" w:hAnsi="Arial" w:cs="Arial"/>
          <w:sz w:val="24"/>
          <w:szCs w:val="24"/>
          <w:lang w:val="de-DE"/>
        </w:rPr>
        <w:t xml:space="preserve"> Förderanträge in Bezug auf die verpflichtende Plausibilisierung der Kosten im Zuge der Antragstellung erleichtern.</w:t>
      </w:r>
    </w:p>
    <w:p w14:paraId="356B1987" w14:textId="77777777" w:rsidR="00C65AA8" w:rsidRPr="00C65AA8" w:rsidRDefault="00C65AA8" w:rsidP="00C65AA8">
      <w:pPr>
        <w:spacing w:before="120" w:after="120" w:line="300" w:lineRule="auto"/>
        <w:rPr>
          <w:rFonts w:ascii="Arial" w:hAnsi="Arial" w:cs="Arial"/>
          <w:sz w:val="24"/>
          <w:szCs w:val="24"/>
          <w:lang w:val="de-DE"/>
        </w:rPr>
      </w:pPr>
      <w:r w:rsidRPr="00C65AA8">
        <w:rPr>
          <w:rFonts w:ascii="Arial" w:hAnsi="Arial" w:cs="Arial"/>
          <w:sz w:val="24"/>
          <w:szCs w:val="24"/>
          <w:lang w:val="de-DE"/>
        </w:rPr>
        <w:t>Dabei ist zu beachten:</w:t>
      </w:r>
    </w:p>
    <w:p w14:paraId="081B5BC3" w14:textId="77777777" w:rsidR="00C65AA8" w:rsidRPr="00C65AA8" w:rsidRDefault="00C65AA8" w:rsidP="00C65AA8">
      <w:pPr>
        <w:pStyle w:val="Listenabsatz"/>
        <w:numPr>
          <w:ilvl w:val="0"/>
          <w:numId w:val="10"/>
        </w:numPr>
        <w:spacing w:before="120" w:after="120" w:line="300" w:lineRule="auto"/>
        <w:rPr>
          <w:rFonts w:ascii="Arial" w:hAnsi="Arial" w:cs="Arial"/>
          <w:sz w:val="24"/>
          <w:szCs w:val="24"/>
          <w:lang w:val="de-DE"/>
        </w:rPr>
      </w:pPr>
      <w:r w:rsidRPr="00C65AA8">
        <w:rPr>
          <w:rFonts w:ascii="Arial" w:hAnsi="Arial" w:cs="Arial"/>
          <w:sz w:val="24"/>
          <w:szCs w:val="24"/>
          <w:lang w:val="de-DE"/>
        </w:rPr>
        <w:t>Die Referenzkosten stellen keine Deckelung dar:</w:t>
      </w:r>
    </w:p>
    <w:p w14:paraId="1C9BF33A" w14:textId="77777777" w:rsidR="00C65AA8" w:rsidRPr="00C65AA8" w:rsidRDefault="00C65AA8" w:rsidP="00C65AA8">
      <w:pPr>
        <w:pStyle w:val="Listenabsatz"/>
        <w:numPr>
          <w:ilvl w:val="1"/>
          <w:numId w:val="10"/>
        </w:numPr>
        <w:spacing w:before="120" w:after="120" w:line="300" w:lineRule="auto"/>
        <w:rPr>
          <w:rFonts w:ascii="Arial" w:hAnsi="Arial" w:cs="Arial"/>
          <w:sz w:val="24"/>
          <w:szCs w:val="24"/>
          <w:lang w:val="de-DE"/>
        </w:rPr>
      </w:pPr>
      <w:r w:rsidRPr="00C65AA8">
        <w:rPr>
          <w:rFonts w:ascii="Arial" w:hAnsi="Arial" w:cs="Arial"/>
          <w:sz w:val="24"/>
          <w:szCs w:val="24"/>
          <w:lang w:val="de-DE"/>
        </w:rPr>
        <w:t>Für alle Kosten, welche unter dem Referenzwert liegen, ist keine zusätzliche Plausibilisierung erforderlich;</w:t>
      </w:r>
    </w:p>
    <w:p w14:paraId="25CEB211" w14:textId="564E0804" w:rsidR="00C65AA8" w:rsidRDefault="00C65AA8" w:rsidP="00C65AA8">
      <w:pPr>
        <w:pStyle w:val="Listenabsatz"/>
        <w:numPr>
          <w:ilvl w:val="1"/>
          <w:numId w:val="10"/>
        </w:numPr>
        <w:spacing w:before="120" w:after="120" w:line="300" w:lineRule="auto"/>
        <w:rPr>
          <w:rFonts w:ascii="Arial" w:hAnsi="Arial" w:cs="Arial"/>
          <w:sz w:val="24"/>
          <w:szCs w:val="24"/>
          <w:lang w:val="de-DE"/>
        </w:rPr>
      </w:pPr>
      <w:r w:rsidRPr="00C65AA8">
        <w:rPr>
          <w:rFonts w:ascii="Arial" w:hAnsi="Arial" w:cs="Arial"/>
          <w:sz w:val="24"/>
          <w:szCs w:val="24"/>
          <w:lang w:val="de-DE"/>
        </w:rPr>
        <w:t xml:space="preserve">Liegen die Kosten der geplanten Investition über den Referenzkosten, </w:t>
      </w:r>
      <w:r>
        <w:rPr>
          <w:rFonts w:ascii="Arial" w:hAnsi="Arial" w:cs="Arial"/>
          <w:sz w:val="24"/>
          <w:szCs w:val="24"/>
          <w:lang w:val="de-DE"/>
        </w:rPr>
        <w:t xml:space="preserve">können </w:t>
      </w:r>
      <w:r w:rsidRPr="00C65AA8">
        <w:rPr>
          <w:rFonts w:ascii="Arial" w:hAnsi="Arial" w:cs="Arial"/>
          <w:sz w:val="24"/>
          <w:szCs w:val="24"/>
          <w:lang w:val="de-DE"/>
        </w:rPr>
        <w:t xml:space="preserve">die höheren Kosten nur dann von der Bewilligungsstelle genehmigt werden, wenn für diese Kosten </w:t>
      </w:r>
      <w:r>
        <w:rPr>
          <w:rFonts w:ascii="Arial" w:hAnsi="Arial" w:cs="Arial"/>
          <w:sz w:val="24"/>
          <w:szCs w:val="24"/>
          <w:lang w:val="de-DE"/>
        </w:rPr>
        <w:t xml:space="preserve">bei der </w:t>
      </w:r>
      <w:r w:rsidRPr="00C65AA8">
        <w:rPr>
          <w:rFonts w:ascii="Arial" w:hAnsi="Arial" w:cs="Arial"/>
          <w:sz w:val="24"/>
          <w:szCs w:val="24"/>
          <w:lang w:val="de-DE"/>
        </w:rPr>
        <w:t>Antragstellung mindestens drei Plausibilis</w:t>
      </w:r>
      <w:r w:rsidR="00D307C7">
        <w:rPr>
          <w:rFonts w:ascii="Arial" w:hAnsi="Arial" w:cs="Arial"/>
          <w:sz w:val="24"/>
          <w:szCs w:val="24"/>
          <w:lang w:val="de-DE"/>
        </w:rPr>
        <w:t>i</w:t>
      </w:r>
      <w:r w:rsidRPr="00C65AA8">
        <w:rPr>
          <w:rFonts w:ascii="Arial" w:hAnsi="Arial" w:cs="Arial"/>
          <w:sz w:val="24"/>
          <w:szCs w:val="24"/>
          <w:lang w:val="de-DE"/>
        </w:rPr>
        <w:t>erungsunterlagen (unverbindliche Preisauskünfte, Angebote, etc.) vorgelegt werden</w:t>
      </w:r>
      <w:r>
        <w:rPr>
          <w:rFonts w:ascii="Arial" w:hAnsi="Arial" w:cs="Arial"/>
          <w:sz w:val="24"/>
          <w:szCs w:val="24"/>
          <w:lang w:val="de-DE"/>
        </w:rPr>
        <w:t xml:space="preserve">. Zusätzlich ist eine kurze Begründung beizulegen, warum die Kosten höher als die Referenzwerte sind. Diese Begründung dient der Bewilligungsstelle zur Entscheidung, ob die höheren Kosten zu genehmigen sind oder nicht. </w:t>
      </w:r>
    </w:p>
    <w:p w14:paraId="0A965706" w14:textId="77777777" w:rsidR="00D307C7" w:rsidRPr="00C65AA8" w:rsidRDefault="00D307C7" w:rsidP="00D307C7">
      <w:pPr>
        <w:pStyle w:val="Listenabsatz"/>
        <w:spacing w:before="120" w:after="120" w:line="300" w:lineRule="auto"/>
        <w:ind w:left="1440"/>
        <w:rPr>
          <w:rFonts w:ascii="Arial" w:hAnsi="Arial" w:cs="Arial"/>
          <w:sz w:val="24"/>
          <w:szCs w:val="24"/>
          <w:lang w:val="de-DE"/>
        </w:rPr>
      </w:pPr>
    </w:p>
    <w:p w14:paraId="05920049" w14:textId="290FF634" w:rsidR="00C65AA8" w:rsidRDefault="00C65AA8" w:rsidP="00C65AA8">
      <w:pPr>
        <w:pStyle w:val="Listenabsatz"/>
        <w:numPr>
          <w:ilvl w:val="0"/>
          <w:numId w:val="10"/>
        </w:numPr>
        <w:spacing w:before="120" w:after="120" w:line="300" w:lineRule="auto"/>
        <w:rPr>
          <w:rFonts w:ascii="Arial" w:hAnsi="Arial" w:cs="Arial"/>
          <w:sz w:val="24"/>
          <w:szCs w:val="24"/>
          <w:lang w:val="de-DE"/>
        </w:rPr>
      </w:pPr>
      <w:r w:rsidRPr="00C65AA8">
        <w:rPr>
          <w:rFonts w:ascii="Arial" w:hAnsi="Arial" w:cs="Arial"/>
          <w:sz w:val="24"/>
          <w:szCs w:val="24"/>
          <w:lang w:val="de-DE"/>
        </w:rPr>
        <w:t xml:space="preserve">Die Referenzkosten gelten für die </w:t>
      </w:r>
      <w:r>
        <w:rPr>
          <w:rFonts w:ascii="Arial" w:hAnsi="Arial" w:cs="Arial"/>
          <w:sz w:val="24"/>
          <w:szCs w:val="24"/>
          <w:lang w:val="de-DE"/>
        </w:rPr>
        <w:t xml:space="preserve">Vorhabensart 6.4.1 </w:t>
      </w:r>
      <w:r w:rsidR="00D307C7">
        <w:rPr>
          <w:rFonts w:ascii="Arial" w:hAnsi="Arial" w:cs="Arial"/>
          <w:sz w:val="24"/>
          <w:szCs w:val="24"/>
          <w:lang w:val="de-DE"/>
        </w:rPr>
        <w:t xml:space="preserve">– </w:t>
      </w:r>
      <w:r>
        <w:rPr>
          <w:rFonts w:ascii="Arial" w:hAnsi="Arial" w:cs="Arial"/>
          <w:sz w:val="24"/>
          <w:szCs w:val="24"/>
          <w:lang w:val="de-DE"/>
        </w:rPr>
        <w:t>Diversifizierung</w:t>
      </w:r>
      <w:r w:rsidR="00D307C7">
        <w:rPr>
          <w:rFonts w:ascii="Arial" w:hAnsi="Arial" w:cs="Arial"/>
          <w:sz w:val="24"/>
          <w:szCs w:val="24"/>
          <w:lang w:val="de-DE"/>
        </w:rPr>
        <w:t xml:space="preserve"> </w:t>
      </w:r>
      <w:r w:rsidR="00D307C7" w:rsidRPr="00D307C7">
        <w:rPr>
          <w:rFonts w:ascii="Arial" w:hAnsi="Arial" w:cs="Arial"/>
          <w:sz w:val="24"/>
          <w:szCs w:val="24"/>
          <w:lang w:val="de-DE"/>
        </w:rPr>
        <w:t>hin zu nichtlandwirtschaftlichen Tätigkeiten</w:t>
      </w:r>
      <w:r w:rsidRPr="00C65AA8">
        <w:rPr>
          <w:rFonts w:ascii="Arial" w:hAnsi="Arial" w:cs="Arial"/>
          <w:sz w:val="24"/>
          <w:szCs w:val="24"/>
          <w:lang w:val="de-DE"/>
        </w:rPr>
        <w:t>.</w:t>
      </w:r>
    </w:p>
    <w:p w14:paraId="0F07E8B6" w14:textId="77777777" w:rsidR="00581AF5" w:rsidRPr="00C65AA8" w:rsidRDefault="00581AF5" w:rsidP="00D307C7">
      <w:pPr>
        <w:pStyle w:val="Listenabsatz"/>
        <w:spacing w:before="120" w:after="120" w:line="300" w:lineRule="auto"/>
        <w:rPr>
          <w:rFonts w:ascii="Arial" w:hAnsi="Arial" w:cs="Arial"/>
          <w:sz w:val="24"/>
          <w:szCs w:val="24"/>
          <w:lang w:val="de-DE"/>
        </w:rPr>
      </w:pPr>
    </w:p>
    <w:p w14:paraId="49080B47" w14:textId="67B5152B" w:rsidR="00054D00" w:rsidRPr="000E16E1" w:rsidRDefault="00C65AA8" w:rsidP="00C65AA8">
      <w:pPr>
        <w:pStyle w:val="Listenabsatz"/>
        <w:numPr>
          <w:ilvl w:val="0"/>
          <w:numId w:val="10"/>
        </w:numPr>
        <w:spacing w:before="120" w:after="120" w:line="300" w:lineRule="auto"/>
        <w:rPr>
          <w:rFonts w:ascii="Arial" w:hAnsi="Arial" w:cs="Arial"/>
          <w:sz w:val="24"/>
          <w:szCs w:val="24"/>
          <w:lang w:val="de-DE"/>
        </w:rPr>
      </w:pPr>
      <w:r w:rsidRPr="00C65AA8">
        <w:rPr>
          <w:rFonts w:ascii="Arial" w:hAnsi="Arial" w:cs="Arial"/>
          <w:sz w:val="24"/>
          <w:szCs w:val="24"/>
          <w:lang w:val="de-DE"/>
        </w:rPr>
        <w:t xml:space="preserve">Die </w:t>
      </w:r>
      <w:r w:rsidRPr="00C65AA8">
        <w:rPr>
          <w:rFonts w:ascii="Arial" w:hAnsi="Arial" w:cs="Arial"/>
          <w:b/>
          <w:sz w:val="24"/>
          <w:szCs w:val="24"/>
          <w:lang w:val="de-DE"/>
        </w:rPr>
        <w:t>Abrechnung</w:t>
      </w:r>
      <w:r w:rsidRPr="00C65AA8">
        <w:rPr>
          <w:rFonts w:ascii="Arial" w:hAnsi="Arial" w:cs="Arial"/>
          <w:sz w:val="24"/>
          <w:szCs w:val="24"/>
          <w:lang w:val="de-DE"/>
        </w:rPr>
        <w:t xml:space="preserve"> erfolgt - wie üblich - auf Basis der</w:t>
      </w:r>
      <w:r w:rsidRPr="00C65AA8">
        <w:rPr>
          <w:rFonts w:ascii="Arial" w:hAnsi="Arial" w:cs="Arial"/>
          <w:b/>
          <w:sz w:val="24"/>
          <w:szCs w:val="24"/>
          <w:lang w:val="de-DE"/>
        </w:rPr>
        <w:t xml:space="preserve"> tatsächlich angefallenen Kosten.</w:t>
      </w:r>
    </w:p>
    <w:p w14:paraId="28F9FB26" w14:textId="77777777" w:rsidR="000E16E1" w:rsidRPr="00C65AA8" w:rsidRDefault="000E16E1" w:rsidP="000E16E1">
      <w:pPr>
        <w:pStyle w:val="Listenabsatz"/>
        <w:spacing w:before="120" w:after="120" w:line="300" w:lineRule="auto"/>
        <w:rPr>
          <w:rFonts w:ascii="Arial" w:hAnsi="Arial" w:cs="Arial"/>
          <w:sz w:val="24"/>
          <w:szCs w:val="24"/>
          <w:lang w:val="de-DE"/>
        </w:rPr>
      </w:pPr>
    </w:p>
    <w:p w14:paraId="638324BE" w14:textId="685EC971" w:rsidR="00B57510" w:rsidRPr="007553B5" w:rsidRDefault="000E16E1" w:rsidP="00B57510">
      <w:pPr>
        <w:pStyle w:val="Listenabsatz"/>
        <w:keepNext/>
        <w:shd w:val="clear" w:color="auto" w:fill="006600"/>
        <w:spacing w:before="160" w:after="120" w:line="240" w:lineRule="auto"/>
        <w:ind w:left="0"/>
        <w:outlineLvl w:val="0"/>
        <w:rPr>
          <w:rFonts w:ascii="Arial" w:eastAsia="Times New Roman" w:hAnsi="Arial" w:cs="Arial"/>
          <w:b/>
          <w:bCs/>
          <w:kern w:val="32"/>
          <w:sz w:val="28"/>
          <w:szCs w:val="32"/>
          <w:lang w:val="de-DE" w:eastAsia="de-DE"/>
        </w:rPr>
      </w:pPr>
      <w:r>
        <w:rPr>
          <w:rFonts w:ascii="Arial" w:eastAsia="Times New Roman" w:hAnsi="Arial" w:cs="Arial"/>
          <w:b/>
          <w:bCs/>
          <w:kern w:val="32"/>
          <w:sz w:val="28"/>
          <w:szCs w:val="32"/>
          <w:lang w:val="de-DE" w:eastAsia="de-DE"/>
        </w:rPr>
        <w:t>Referenzkosten für Einrichtung und Ausstattung</w:t>
      </w:r>
    </w:p>
    <w:p w14:paraId="23DF1ABC" w14:textId="7A306333" w:rsidR="00443F7F" w:rsidRPr="00C65AA8" w:rsidRDefault="00443F7F" w:rsidP="00443F7F">
      <w:pPr>
        <w:spacing w:before="120" w:after="120" w:line="300" w:lineRule="auto"/>
        <w:rPr>
          <w:rFonts w:ascii="Arial" w:hAnsi="Arial" w:cs="Arial"/>
          <w:sz w:val="24"/>
          <w:szCs w:val="24"/>
          <w:lang w:val="de-DE"/>
        </w:rPr>
      </w:pPr>
      <w:r>
        <w:rPr>
          <w:rFonts w:ascii="Arial" w:hAnsi="Arial" w:cs="Arial"/>
          <w:sz w:val="24"/>
          <w:szCs w:val="24"/>
          <w:lang w:val="de-DE"/>
        </w:rPr>
        <w:t>Folgende Referen</w:t>
      </w:r>
      <w:r w:rsidR="00676B4D">
        <w:rPr>
          <w:rFonts w:ascii="Arial" w:hAnsi="Arial" w:cs="Arial"/>
          <w:sz w:val="24"/>
          <w:szCs w:val="24"/>
          <w:lang w:val="de-DE"/>
        </w:rPr>
        <w:t xml:space="preserve">zkosten </w:t>
      </w:r>
      <w:r>
        <w:rPr>
          <w:rFonts w:ascii="Arial" w:hAnsi="Arial" w:cs="Arial"/>
          <w:sz w:val="24"/>
          <w:szCs w:val="24"/>
          <w:lang w:val="de-DE"/>
        </w:rPr>
        <w:t>können angewendet werden</w:t>
      </w:r>
      <w:r w:rsidR="00581AF5">
        <w:rPr>
          <w:rFonts w:ascii="Arial" w:hAnsi="Arial" w:cs="Arial"/>
          <w:sz w:val="24"/>
          <w:szCs w:val="24"/>
          <w:lang w:val="de-DE"/>
        </w:rPr>
        <w:t>. Sie gelten sowohl bei Neubauten, als auch bei Sanierungen</w:t>
      </w:r>
      <w:r w:rsidRPr="00C65AA8">
        <w:rPr>
          <w:rFonts w:ascii="Arial" w:hAnsi="Arial" w:cs="Arial"/>
          <w:sz w:val="24"/>
          <w:szCs w:val="24"/>
          <w:lang w:val="de-DE"/>
        </w:rPr>
        <w:t>:</w:t>
      </w:r>
    </w:p>
    <w:p w14:paraId="0666B58E" w14:textId="0E5C85FC" w:rsidR="00443F7F" w:rsidRPr="00D307C7" w:rsidRDefault="00676B4D" w:rsidP="00E47FAE">
      <w:pPr>
        <w:spacing w:before="120" w:after="120" w:line="300" w:lineRule="auto"/>
        <w:rPr>
          <w:rFonts w:ascii="Arial" w:hAnsi="Arial" w:cs="Arial"/>
          <w:b/>
          <w:sz w:val="24"/>
          <w:szCs w:val="24"/>
          <w:lang w:val="de-DE"/>
        </w:rPr>
      </w:pPr>
      <w:r w:rsidRPr="00D307C7">
        <w:rPr>
          <w:rFonts w:ascii="Arial" w:hAnsi="Arial" w:cs="Arial"/>
          <w:b/>
          <w:sz w:val="24"/>
          <w:szCs w:val="24"/>
          <w:lang w:val="de-DE"/>
        </w:rPr>
        <w:t>Ferienwohnungen:</w:t>
      </w:r>
    </w:p>
    <w:p w14:paraId="61833490" w14:textId="6C48B2EC" w:rsidR="00443F7F" w:rsidRPr="00676B4D" w:rsidRDefault="00443F7F" w:rsidP="00676B4D">
      <w:pPr>
        <w:pStyle w:val="Listenabsatz"/>
        <w:numPr>
          <w:ilvl w:val="0"/>
          <w:numId w:val="12"/>
        </w:numPr>
        <w:spacing w:before="120" w:after="120" w:line="300" w:lineRule="auto"/>
        <w:rPr>
          <w:rFonts w:ascii="Arial" w:hAnsi="Arial" w:cs="Arial"/>
          <w:sz w:val="24"/>
          <w:szCs w:val="24"/>
          <w:lang w:val="de-DE"/>
        </w:rPr>
      </w:pPr>
      <w:r w:rsidRPr="00676B4D">
        <w:rPr>
          <w:rFonts w:ascii="Arial" w:hAnsi="Arial" w:cs="Arial"/>
          <w:b/>
          <w:sz w:val="24"/>
          <w:szCs w:val="24"/>
          <w:lang w:val="de-DE"/>
        </w:rPr>
        <w:t>6.256 EUR pro Fixbett</w:t>
      </w:r>
      <w:r w:rsidRPr="00676B4D">
        <w:rPr>
          <w:rFonts w:ascii="Arial" w:hAnsi="Arial" w:cs="Arial"/>
          <w:sz w:val="24"/>
          <w:szCs w:val="24"/>
          <w:lang w:val="de-DE"/>
        </w:rPr>
        <w:t xml:space="preserve"> für Einrichtung und Ausstattung </w:t>
      </w:r>
    </w:p>
    <w:p w14:paraId="3C050072" w14:textId="0713CC02" w:rsidR="00676B4D" w:rsidRPr="00676B4D" w:rsidRDefault="00676B4D" w:rsidP="00676B4D">
      <w:pPr>
        <w:spacing w:before="120" w:after="120" w:line="300" w:lineRule="auto"/>
        <w:rPr>
          <w:rFonts w:ascii="Arial" w:hAnsi="Arial" w:cs="Arial"/>
          <w:b/>
          <w:sz w:val="24"/>
          <w:szCs w:val="24"/>
          <w:lang w:val="de-DE"/>
        </w:rPr>
      </w:pPr>
      <w:r w:rsidRPr="00676B4D">
        <w:rPr>
          <w:rFonts w:ascii="Arial" w:hAnsi="Arial" w:cs="Arial"/>
          <w:b/>
          <w:sz w:val="24"/>
          <w:szCs w:val="24"/>
          <w:lang w:val="de-DE"/>
        </w:rPr>
        <w:lastRenderedPageBreak/>
        <w:t>Gästezimmer:</w:t>
      </w:r>
    </w:p>
    <w:p w14:paraId="0A7F0D93" w14:textId="2B79BB43" w:rsidR="00676B4D" w:rsidRPr="00676B4D" w:rsidRDefault="00443F7F" w:rsidP="00676B4D">
      <w:pPr>
        <w:pStyle w:val="Listenabsatz"/>
        <w:numPr>
          <w:ilvl w:val="0"/>
          <w:numId w:val="12"/>
        </w:numPr>
        <w:spacing w:before="120" w:after="120" w:line="300" w:lineRule="auto"/>
        <w:rPr>
          <w:rFonts w:ascii="Arial" w:hAnsi="Arial" w:cs="Arial"/>
          <w:b/>
          <w:sz w:val="24"/>
          <w:szCs w:val="24"/>
          <w:lang w:val="de-DE"/>
        </w:rPr>
      </w:pPr>
      <w:r w:rsidRPr="00676B4D">
        <w:rPr>
          <w:rFonts w:ascii="Arial" w:hAnsi="Arial" w:cs="Arial"/>
          <w:b/>
          <w:sz w:val="24"/>
          <w:szCs w:val="24"/>
          <w:lang w:val="de-DE"/>
        </w:rPr>
        <w:t xml:space="preserve">3.570 EUR pro Fixbett </w:t>
      </w:r>
      <w:r w:rsidRPr="00676B4D">
        <w:rPr>
          <w:rFonts w:ascii="Arial" w:hAnsi="Arial" w:cs="Arial"/>
          <w:sz w:val="24"/>
          <w:szCs w:val="24"/>
          <w:lang w:val="de-DE"/>
        </w:rPr>
        <w:t>für Einrichtung und Ausstattung</w:t>
      </w:r>
      <w:r w:rsidRPr="00676B4D">
        <w:rPr>
          <w:rFonts w:ascii="Arial" w:hAnsi="Arial" w:cs="Arial"/>
          <w:b/>
          <w:sz w:val="24"/>
          <w:szCs w:val="24"/>
          <w:lang w:val="de-DE"/>
        </w:rPr>
        <w:t xml:space="preserve"> </w:t>
      </w:r>
    </w:p>
    <w:p w14:paraId="58E409B4" w14:textId="77777777" w:rsidR="00B71859" w:rsidRPr="00B71859" w:rsidRDefault="00B71859" w:rsidP="00B71859">
      <w:pPr>
        <w:framePr w:hSpace="141" w:wrap="around" w:vAnchor="text" w:hAnchor="margin" w:y="-45"/>
        <w:spacing w:line="360" w:lineRule="auto"/>
        <w:rPr>
          <w:rFonts w:ascii="Arial" w:hAnsi="Arial" w:cs="Arial"/>
          <w:b/>
          <w:sz w:val="24"/>
          <w:szCs w:val="24"/>
        </w:rPr>
      </w:pPr>
      <w:r w:rsidRPr="00B71859">
        <w:rPr>
          <w:rFonts w:ascii="Arial" w:hAnsi="Arial" w:cs="Arial"/>
          <w:b/>
          <w:sz w:val="24"/>
          <w:szCs w:val="24"/>
        </w:rPr>
        <w:t>Folgende Kosten sind mit den Referenzkosten abgedeckt:</w:t>
      </w:r>
    </w:p>
    <w:p w14:paraId="3F55318E" w14:textId="77777777" w:rsidR="00B71859" w:rsidRPr="00B71859" w:rsidRDefault="00B71859" w:rsidP="00B71859">
      <w:pPr>
        <w:framePr w:hSpace="141" w:wrap="around" w:vAnchor="text" w:hAnchor="margin" w:y="-45"/>
        <w:spacing w:line="360" w:lineRule="auto"/>
        <w:rPr>
          <w:rFonts w:ascii="Arial" w:hAnsi="Arial" w:cs="Arial"/>
          <w:sz w:val="24"/>
          <w:szCs w:val="24"/>
        </w:rPr>
      </w:pPr>
      <w:r w:rsidRPr="00B71859">
        <w:rPr>
          <w:rFonts w:ascii="Arial" w:hAnsi="Arial" w:cs="Arial"/>
          <w:sz w:val="24"/>
          <w:szCs w:val="24"/>
        </w:rPr>
        <w:t>Sämtliche Kosten für die Einrichtung und Ausstattung von Gästezimmern oder Ferienwohnungen inkl. Frühstücks- und Aufenthaltsräumen.</w:t>
      </w:r>
    </w:p>
    <w:p w14:paraId="425AF565" w14:textId="77777777" w:rsidR="00B71859" w:rsidRPr="00B71859" w:rsidRDefault="00B71859" w:rsidP="00B71859">
      <w:pPr>
        <w:spacing w:line="360" w:lineRule="auto"/>
        <w:rPr>
          <w:rFonts w:ascii="Arial" w:hAnsi="Arial" w:cs="Arial"/>
          <w:b/>
          <w:sz w:val="24"/>
          <w:szCs w:val="24"/>
        </w:rPr>
      </w:pPr>
      <w:r w:rsidRPr="00B71859">
        <w:rPr>
          <w:rFonts w:ascii="Arial" w:hAnsi="Arial" w:cs="Arial"/>
          <w:b/>
          <w:sz w:val="24"/>
          <w:szCs w:val="24"/>
        </w:rPr>
        <w:t>Folgende Kosten sind NICHT mit den Referenzkosten abgedeckt:</w:t>
      </w:r>
    </w:p>
    <w:p w14:paraId="3684F13E" w14:textId="77777777" w:rsidR="00B71859" w:rsidRPr="00B71859" w:rsidRDefault="00B71859" w:rsidP="00B71859">
      <w:pPr>
        <w:framePr w:hSpace="141" w:wrap="around" w:vAnchor="text" w:hAnchor="margin" w:y="-45"/>
        <w:spacing w:line="360" w:lineRule="auto"/>
        <w:rPr>
          <w:rFonts w:ascii="Arial" w:hAnsi="Arial" w:cs="Arial"/>
          <w:sz w:val="24"/>
          <w:szCs w:val="24"/>
        </w:rPr>
      </w:pPr>
      <w:r w:rsidRPr="00B71859">
        <w:rPr>
          <w:rFonts w:ascii="Arial" w:hAnsi="Arial" w:cs="Arial"/>
          <w:sz w:val="24"/>
          <w:szCs w:val="24"/>
        </w:rPr>
        <w:t>Außenanlagen, Spielplatz, Sauna, etc.</w:t>
      </w:r>
    </w:p>
    <w:p w14:paraId="1D7D3583" w14:textId="1AC18AAC" w:rsidR="00443F7F" w:rsidRDefault="00443F7F" w:rsidP="00B71859">
      <w:pPr>
        <w:suppressAutoHyphens/>
        <w:spacing w:after="0" w:line="300" w:lineRule="auto"/>
        <w:jc w:val="both"/>
        <w:rPr>
          <w:rFonts w:cstheme="minorHAnsi"/>
        </w:rPr>
      </w:pPr>
    </w:p>
    <w:p w14:paraId="0DF1BA76" w14:textId="01A6CD82" w:rsidR="00B71859" w:rsidRDefault="00B71859" w:rsidP="00B71859">
      <w:pPr>
        <w:suppressAutoHyphens/>
        <w:spacing w:after="0" w:line="300" w:lineRule="auto"/>
        <w:jc w:val="both"/>
        <w:rPr>
          <w:rFonts w:cstheme="minorHAnsi"/>
        </w:rPr>
      </w:pPr>
    </w:p>
    <w:p w14:paraId="7726B603" w14:textId="756C0091" w:rsidR="00B71859" w:rsidRDefault="00B71859" w:rsidP="00B71859">
      <w:pPr>
        <w:suppressAutoHyphens/>
        <w:spacing w:after="0" w:line="300" w:lineRule="auto"/>
        <w:jc w:val="both"/>
        <w:rPr>
          <w:rFonts w:cstheme="minorHAnsi"/>
        </w:rPr>
      </w:pPr>
    </w:p>
    <w:p w14:paraId="18C0889A" w14:textId="4C756ACA" w:rsidR="00B71859" w:rsidRPr="00B71859" w:rsidRDefault="00B71859" w:rsidP="00B71859">
      <w:pPr>
        <w:tabs>
          <w:tab w:val="left" w:pos="1860"/>
        </w:tabs>
        <w:suppressAutoHyphens/>
        <w:spacing w:after="0" w:line="300" w:lineRule="auto"/>
        <w:jc w:val="both"/>
        <w:rPr>
          <w:rFonts w:cstheme="minorHAnsi"/>
        </w:rPr>
      </w:pPr>
      <w:r>
        <w:rPr>
          <w:rFonts w:cstheme="minorHAnsi"/>
        </w:rPr>
        <w:tab/>
      </w:r>
    </w:p>
    <w:tbl>
      <w:tblPr>
        <w:tblStyle w:val="Tabellenraster"/>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B665"/>
        <w:tblLook w:val="04A0" w:firstRow="1" w:lastRow="0" w:firstColumn="1" w:lastColumn="0" w:noHBand="0" w:noVBand="1"/>
      </w:tblPr>
      <w:tblGrid>
        <w:gridCol w:w="9062"/>
      </w:tblGrid>
      <w:tr w:rsidR="00676B4D" w:rsidRPr="007E4F46" w14:paraId="64DAB8C8" w14:textId="77777777" w:rsidTr="00C86328">
        <w:tc>
          <w:tcPr>
            <w:tcW w:w="9062" w:type="dxa"/>
            <w:shd w:val="clear" w:color="auto" w:fill="FFD966" w:themeFill="accent4" w:themeFillTint="99"/>
          </w:tcPr>
          <w:p w14:paraId="70590AD2" w14:textId="77777777" w:rsidR="00676B4D" w:rsidRPr="007E4F46" w:rsidRDefault="00676B4D" w:rsidP="00C86328">
            <w:pPr>
              <w:spacing w:line="360" w:lineRule="auto"/>
              <w:rPr>
                <w:rFonts w:ascii="Arial" w:hAnsi="Arial" w:cs="Arial"/>
                <w:b/>
                <w:sz w:val="24"/>
                <w:szCs w:val="24"/>
              </w:rPr>
            </w:pPr>
            <w:r>
              <w:rPr>
                <w:rFonts w:ascii="Arial" w:hAnsi="Arial" w:cs="Arial"/>
                <w:b/>
                <w:sz w:val="24"/>
                <w:szCs w:val="24"/>
              </w:rPr>
              <w:t>Hinweis</w:t>
            </w:r>
            <w:r w:rsidRPr="007E4F46">
              <w:rPr>
                <w:rFonts w:ascii="Arial" w:hAnsi="Arial" w:cs="Arial"/>
                <w:b/>
                <w:sz w:val="24"/>
                <w:szCs w:val="24"/>
              </w:rPr>
              <w:t xml:space="preserve">: </w:t>
            </w:r>
          </w:p>
          <w:p w14:paraId="3034DB17" w14:textId="77777777" w:rsidR="002415E6" w:rsidRPr="002415E6" w:rsidRDefault="002415E6" w:rsidP="002415E6">
            <w:pPr>
              <w:rPr>
                <w:rFonts w:ascii="Arial" w:hAnsi="Arial" w:cs="Arial"/>
                <w:sz w:val="24"/>
                <w:szCs w:val="24"/>
              </w:rPr>
            </w:pPr>
            <w:r w:rsidRPr="002415E6">
              <w:rPr>
                <w:rFonts w:ascii="Arial" w:hAnsi="Arial" w:cs="Arial"/>
                <w:sz w:val="24"/>
                <w:szCs w:val="24"/>
              </w:rPr>
              <w:t>Im Rahmen der Gästebeherbergung wird zwischen Fixbetten und Zusatzbetten unterschieden. Unter Fixbetten werden Betten verstanden, die ein fixer Bestandteil der Zimmer- bzw. Ferienwohnungsausstattung sind. Hierzu zählen Einzelbetten, Doppelbetten und Stockbetten in verschiedenen Breiten (z.B. King Size) bzw. Bettlängen.</w:t>
            </w:r>
          </w:p>
          <w:p w14:paraId="76C5D62C" w14:textId="77777777" w:rsidR="002415E6" w:rsidRPr="002415E6" w:rsidRDefault="002415E6" w:rsidP="002415E6">
            <w:pPr>
              <w:rPr>
                <w:rFonts w:ascii="Arial" w:hAnsi="Arial" w:cs="Arial"/>
                <w:sz w:val="24"/>
                <w:szCs w:val="24"/>
              </w:rPr>
            </w:pPr>
            <w:r w:rsidRPr="002415E6">
              <w:rPr>
                <w:rFonts w:ascii="Arial" w:hAnsi="Arial" w:cs="Arial"/>
                <w:sz w:val="24"/>
                <w:szCs w:val="24"/>
              </w:rPr>
              <w:t>Zusatzbetten sind beispielsweise ausziehbare Couchen oder Klappbetten, die auf Anfrage vom Vermietungsbetrieb zur Verfügung gestellt werden. Sie stellen jedoch keinen fixen Bestandteil der Zimmer- bzw. Ferienwohnungsausstattung dar.</w:t>
            </w:r>
            <w:bookmarkStart w:id="0" w:name="_GoBack"/>
            <w:bookmarkEnd w:id="0"/>
          </w:p>
          <w:p w14:paraId="78295625" w14:textId="7C08D54D" w:rsidR="00B71859" w:rsidRPr="007E4F46" w:rsidRDefault="00B71859" w:rsidP="00B71859">
            <w:pPr>
              <w:spacing w:line="360" w:lineRule="auto"/>
              <w:rPr>
                <w:rFonts w:ascii="Arial" w:hAnsi="Arial" w:cs="Arial"/>
                <w:sz w:val="24"/>
                <w:szCs w:val="24"/>
              </w:rPr>
            </w:pPr>
          </w:p>
        </w:tc>
      </w:tr>
    </w:tbl>
    <w:p w14:paraId="255AC940" w14:textId="77777777" w:rsidR="00443F7F" w:rsidRPr="00443F7F" w:rsidRDefault="00443F7F" w:rsidP="00E47FAE">
      <w:pPr>
        <w:spacing w:before="120" w:after="120" w:line="300" w:lineRule="auto"/>
        <w:rPr>
          <w:rFonts w:ascii="Arial" w:hAnsi="Arial" w:cs="Arial"/>
          <w:sz w:val="24"/>
          <w:szCs w:val="24"/>
        </w:rPr>
      </w:pPr>
    </w:p>
    <w:p w14:paraId="0DDD24EA" w14:textId="77777777" w:rsidR="00737E4A" w:rsidRPr="007E4F46" w:rsidRDefault="00737E4A" w:rsidP="007E4F46">
      <w:pPr>
        <w:spacing w:before="120" w:after="120" w:line="300" w:lineRule="auto"/>
        <w:rPr>
          <w:rFonts w:ascii="Arial" w:hAnsi="Arial" w:cs="Arial"/>
          <w:sz w:val="24"/>
          <w:szCs w:val="24"/>
          <w:lang w:val="de-DE"/>
        </w:rPr>
      </w:pPr>
    </w:p>
    <w:tbl>
      <w:tblPr>
        <w:tblStyle w:val="Tabellenraster"/>
        <w:tblpPr w:leftFromText="141" w:rightFromText="141" w:vertAnchor="text" w:horzAnchor="margin" w:tblpY="89"/>
        <w:tblW w:w="0" w:type="auto"/>
        <w:tblLook w:val="04A0" w:firstRow="1" w:lastRow="0" w:firstColumn="1" w:lastColumn="0" w:noHBand="0" w:noVBand="1"/>
      </w:tblPr>
      <w:tblGrid>
        <w:gridCol w:w="9062"/>
      </w:tblGrid>
      <w:tr w:rsidR="0001142B" w:rsidRPr="007E4F46" w14:paraId="5C6E15DC" w14:textId="77777777" w:rsidTr="0001142B">
        <w:tc>
          <w:tcPr>
            <w:tcW w:w="9062" w:type="dxa"/>
          </w:tcPr>
          <w:p w14:paraId="097465E2" w14:textId="2419DD85" w:rsidR="0001142B" w:rsidRPr="007E4F46" w:rsidRDefault="0001142B" w:rsidP="0001142B">
            <w:pPr>
              <w:spacing w:line="360" w:lineRule="auto"/>
              <w:rPr>
                <w:rFonts w:ascii="Arial" w:hAnsi="Arial" w:cs="Arial"/>
                <w:sz w:val="24"/>
                <w:szCs w:val="24"/>
                <w:lang w:eastAsia="de-AT"/>
              </w:rPr>
            </w:pPr>
            <w:r w:rsidRPr="007E4F46">
              <w:rPr>
                <w:rFonts w:ascii="Arial" w:hAnsi="Arial" w:cs="Arial"/>
                <w:sz w:val="24"/>
                <w:szCs w:val="24"/>
                <w:lang w:eastAsia="de-AT"/>
              </w:rPr>
              <w:t xml:space="preserve">IMPRESSUM: Informationsblatt zu </w:t>
            </w:r>
            <w:r w:rsidR="00D307C7">
              <w:rPr>
                <w:rFonts w:ascii="Arial" w:hAnsi="Arial" w:cs="Arial"/>
                <w:sz w:val="24"/>
                <w:szCs w:val="24"/>
                <w:lang w:eastAsia="de-AT"/>
              </w:rPr>
              <w:t>Referenzkosten VHA 6.4.1</w:t>
            </w:r>
            <w:r w:rsidRPr="007E4F46">
              <w:rPr>
                <w:rFonts w:ascii="Arial" w:hAnsi="Arial" w:cs="Arial"/>
                <w:sz w:val="24"/>
                <w:szCs w:val="24"/>
                <w:lang w:eastAsia="de-AT"/>
              </w:rPr>
              <w:t xml:space="preserve"> der Agrarmarkt Austria (AMA)</w:t>
            </w:r>
          </w:p>
          <w:p w14:paraId="517552B0" w14:textId="77777777" w:rsidR="0001142B" w:rsidRPr="007E4F46" w:rsidRDefault="0001142B" w:rsidP="0001142B">
            <w:pPr>
              <w:spacing w:line="360" w:lineRule="auto"/>
              <w:rPr>
                <w:rFonts w:ascii="Arial" w:hAnsi="Arial" w:cs="Arial"/>
                <w:sz w:val="24"/>
                <w:szCs w:val="24"/>
                <w:lang w:eastAsia="de-AT"/>
              </w:rPr>
            </w:pPr>
            <w:r w:rsidRPr="007E4F46">
              <w:rPr>
                <w:rFonts w:ascii="Arial" w:hAnsi="Arial" w:cs="Arial"/>
                <w:sz w:val="24"/>
                <w:szCs w:val="24"/>
                <w:lang w:eastAsia="de-AT"/>
              </w:rPr>
              <w:t xml:space="preserve">Medieninhaber, Herausgeber, Vertrieb, Redaktion: Agrarmarkt Austria, Dresdner Straße 70, 1200 Wien, Telefon: +43 50 3151 - 99, Telefax: +43 50 3151-297, E-Mail: </w:t>
            </w:r>
            <w:hyperlink r:id="rId8" w:history="1">
              <w:r w:rsidRPr="007E4F46">
                <w:rPr>
                  <w:rStyle w:val="Hyperlink"/>
                  <w:rFonts w:ascii="Arial" w:hAnsi="Arial" w:cs="Arial"/>
                  <w:sz w:val="24"/>
                  <w:szCs w:val="24"/>
                  <w:lang w:eastAsia="de-AT"/>
                </w:rPr>
                <w:t>le-projekte@ama.gv.at</w:t>
              </w:r>
            </w:hyperlink>
            <w:r w:rsidRPr="007E4F46">
              <w:rPr>
                <w:rFonts w:ascii="Arial" w:hAnsi="Arial" w:cs="Arial"/>
                <w:sz w:val="24"/>
                <w:szCs w:val="24"/>
                <w:lang w:eastAsia="de-AT"/>
              </w:rPr>
              <w:t xml:space="preserve">  </w:t>
            </w:r>
          </w:p>
          <w:p w14:paraId="1CF1FDA3" w14:textId="77777777" w:rsidR="0001142B" w:rsidRPr="007E4F46" w:rsidRDefault="0001142B" w:rsidP="0001142B">
            <w:pPr>
              <w:spacing w:line="360" w:lineRule="auto"/>
              <w:rPr>
                <w:rFonts w:ascii="Arial" w:hAnsi="Arial" w:cs="Arial"/>
                <w:sz w:val="24"/>
                <w:szCs w:val="24"/>
                <w:lang w:eastAsia="de-AT"/>
              </w:rPr>
            </w:pPr>
          </w:p>
          <w:p w14:paraId="1E8E8417" w14:textId="0B1C60B1" w:rsidR="0001142B" w:rsidRPr="007E4F46" w:rsidRDefault="0001142B" w:rsidP="00D307C7">
            <w:pPr>
              <w:spacing w:line="360" w:lineRule="auto"/>
              <w:rPr>
                <w:rFonts w:ascii="Arial" w:eastAsia="Times New Roman" w:hAnsi="Arial" w:cs="Arial"/>
                <w:b/>
                <w:bCs/>
                <w:spacing w:val="20"/>
                <w:sz w:val="24"/>
                <w:szCs w:val="24"/>
                <w:lang w:val="de-DE" w:eastAsia="de-DE"/>
              </w:rPr>
            </w:pPr>
            <w:r w:rsidRPr="007E4F46">
              <w:rPr>
                <w:rFonts w:ascii="Arial" w:hAnsi="Arial" w:cs="Arial"/>
                <w:sz w:val="24"/>
                <w:szCs w:val="24"/>
                <w:lang w:eastAsia="de-AT"/>
              </w:rPr>
              <w:t xml:space="preserve">Dieses Informationsblatt zu </w:t>
            </w:r>
            <w:r w:rsidR="00D307C7">
              <w:rPr>
                <w:rFonts w:ascii="Arial" w:hAnsi="Arial" w:cs="Arial"/>
                <w:sz w:val="24"/>
                <w:szCs w:val="24"/>
                <w:lang w:eastAsia="de-AT"/>
              </w:rPr>
              <w:t>Referenzkosten VHA 6.4.1</w:t>
            </w:r>
            <w:r w:rsidRPr="007E4F46">
              <w:rPr>
                <w:rFonts w:ascii="Arial" w:hAnsi="Arial" w:cs="Arial"/>
                <w:sz w:val="24"/>
                <w:szCs w:val="24"/>
                <w:lang w:eastAsia="de-AT"/>
              </w:rPr>
              <w:t xml:space="preserve"> enthält rechtlich unverbindliche Aussagen. Im Sinne des Gleichheitsgrundsatzes haben die Ausführungen in gleicher Weise für </w:t>
            </w:r>
            <w:r w:rsidR="00423413">
              <w:rPr>
                <w:rFonts w:ascii="Arial" w:hAnsi="Arial" w:cs="Arial"/>
                <w:sz w:val="24"/>
                <w:szCs w:val="24"/>
                <w:lang w:eastAsia="de-AT"/>
              </w:rPr>
              <w:t>alle Geschlechter</w:t>
            </w:r>
            <w:r w:rsidRPr="007E4F46">
              <w:rPr>
                <w:rFonts w:ascii="Arial" w:hAnsi="Arial" w:cs="Arial"/>
                <w:sz w:val="24"/>
                <w:szCs w:val="24"/>
                <w:lang w:eastAsia="de-AT"/>
              </w:rPr>
              <w:t xml:space="preserve"> Geltung.</w:t>
            </w:r>
          </w:p>
        </w:tc>
      </w:tr>
    </w:tbl>
    <w:p w14:paraId="0671EDFE" w14:textId="77777777" w:rsidR="00755790" w:rsidRPr="00C743C1" w:rsidRDefault="00755790" w:rsidP="00C743C1"/>
    <w:p w14:paraId="03749FEA" w14:textId="77777777" w:rsidR="00755790" w:rsidRPr="00D11E30" w:rsidRDefault="00755790" w:rsidP="00C743C1"/>
    <w:sectPr w:rsidR="00755790" w:rsidRPr="00D11E30" w:rsidSect="009630D9">
      <w:footerReference w:type="default" r:id="rId9"/>
      <w:headerReference w:type="first" r:id="rId10"/>
      <w:footerReference w:type="first" r:id="rId11"/>
      <w:pgSz w:w="11906" w:h="16838"/>
      <w:pgMar w:top="1985" w:right="1417" w:bottom="1134" w:left="1417"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2CC5" w14:textId="77777777" w:rsidR="008D4E92" w:rsidRDefault="008D4E92" w:rsidP="008D4E92">
      <w:pPr>
        <w:spacing w:after="0" w:line="240" w:lineRule="auto"/>
      </w:pPr>
      <w:r>
        <w:separator/>
      </w:r>
    </w:p>
  </w:endnote>
  <w:endnote w:type="continuationSeparator" w:id="0">
    <w:p w14:paraId="4AE77C56" w14:textId="77777777" w:rsidR="008D4E92" w:rsidRDefault="008D4E92" w:rsidP="008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B4CE" w14:textId="77777777" w:rsidR="008D4E92" w:rsidRDefault="008D4E92" w:rsidP="008D4E92">
    <w:pPr>
      <w:pStyle w:val="Fuzeile"/>
      <w:jc w:val="right"/>
    </w:pPr>
  </w:p>
  <w:p w14:paraId="69FDF45B" w14:textId="6E08BADA" w:rsidR="008D4E92" w:rsidRPr="00E05860" w:rsidRDefault="004A5357" w:rsidP="008D4E92">
    <w:pPr>
      <w:pStyle w:val="Fuzeile"/>
      <w:jc w:val="right"/>
      <w:rPr>
        <w:sz w:val="24"/>
        <w:szCs w:val="24"/>
      </w:rPr>
    </w:pPr>
    <w:hyperlink r:id="rId1" w:history="1">
      <w:r w:rsidR="008D4E92" w:rsidRPr="00E05860">
        <w:rPr>
          <w:rStyle w:val="Hyperlink"/>
          <w:sz w:val="24"/>
          <w:szCs w:val="24"/>
        </w:rPr>
        <w:t>www.ama.at</w:t>
      </w:r>
    </w:hyperlink>
    <w:r w:rsidR="00D307C7">
      <w:rPr>
        <w:rStyle w:val="Hyperlink"/>
        <w:sz w:val="24"/>
        <w:szCs w:val="24"/>
      </w:rPr>
      <w:t xml:space="preserve"> </w:t>
    </w:r>
    <w:r w:rsidR="00495F8C">
      <w:rPr>
        <w:sz w:val="24"/>
        <w:szCs w:val="24"/>
      </w:rPr>
      <w:tab/>
      <w:t>Informationsblatt</w:t>
    </w:r>
    <w:r w:rsidR="00081811">
      <w:rPr>
        <w:sz w:val="24"/>
        <w:szCs w:val="24"/>
      </w:rPr>
      <w:t xml:space="preserve"> </w:t>
    </w:r>
    <w:r w:rsidR="00D307C7">
      <w:rPr>
        <w:sz w:val="24"/>
        <w:szCs w:val="24"/>
      </w:rPr>
      <w:t>Referenzkosten VHA 6.4.1</w:t>
    </w:r>
    <w:r w:rsidR="00081811">
      <w:rPr>
        <w:sz w:val="24"/>
        <w:szCs w:val="24"/>
      </w:rPr>
      <w:t xml:space="preserve"> </w:t>
    </w:r>
    <w:r w:rsidR="00D307C7">
      <w:rPr>
        <w:sz w:val="24"/>
        <w:szCs w:val="24"/>
      </w:rPr>
      <w:t>Version</w:t>
    </w:r>
    <w:r w:rsidR="00081811">
      <w:rPr>
        <w:sz w:val="24"/>
        <w:szCs w:val="24"/>
      </w:rPr>
      <w:t xml:space="preserve"> </w:t>
    </w:r>
    <w:r w:rsidR="00D307C7">
      <w:rPr>
        <w:sz w:val="24"/>
        <w:szCs w:val="24"/>
      </w:rPr>
      <w:t>1</w:t>
    </w:r>
    <w:r w:rsidR="00081811">
      <w:rPr>
        <w:sz w:val="24"/>
        <w:szCs w:val="24"/>
      </w:rPr>
      <w:t xml:space="preserve">, </w:t>
    </w:r>
    <w:r w:rsidR="00D307C7">
      <w:rPr>
        <w:sz w:val="24"/>
        <w:szCs w:val="24"/>
      </w:rPr>
      <w:t>Oktober</w:t>
    </w:r>
    <w:r w:rsidR="00A40E5E">
      <w:rPr>
        <w:sz w:val="24"/>
        <w:szCs w:val="24"/>
      </w:rPr>
      <w:t xml:space="preserve"> </w:t>
    </w:r>
    <w:r w:rsidR="008D4E92" w:rsidRPr="00E05860">
      <w:rPr>
        <w:sz w:val="24"/>
        <w:szCs w:val="24"/>
      </w:rPr>
      <w:t>202</w:t>
    </w:r>
    <w:r w:rsidR="000A7585">
      <w:rPr>
        <w:sz w:val="24"/>
        <w:szCs w:val="24"/>
      </w:rPr>
      <w:t>1</w:t>
    </w:r>
    <w:r w:rsidR="008D4E92" w:rsidRPr="00E05860">
      <w:rPr>
        <w:sz w:val="24"/>
        <w:szCs w:val="24"/>
      </w:rPr>
      <w:tab/>
    </w:r>
    <w:r w:rsidR="008D4E92" w:rsidRPr="00E05860">
      <w:rPr>
        <w:sz w:val="24"/>
        <w:szCs w:val="24"/>
      </w:rPr>
      <w:fldChar w:fldCharType="begin"/>
    </w:r>
    <w:r w:rsidR="008D4E92" w:rsidRPr="00E05860">
      <w:rPr>
        <w:sz w:val="24"/>
        <w:szCs w:val="24"/>
      </w:rPr>
      <w:instrText xml:space="preserve"> PAGE   \* MERGEFORMAT </w:instrText>
    </w:r>
    <w:r w:rsidR="008D4E92" w:rsidRPr="00E05860">
      <w:rPr>
        <w:sz w:val="24"/>
        <w:szCs w:val="24"/>
      </w:rPr>
      <w:fldChar w:fldCharType="separate"/>
    </w:r>
    <w:r>
      <w:rPr>
        <w:noProof/>
        <w:sz w:val="24"/>
        <w:szCs w:val="24"/>
      </w:rPr>
      <w:t>2</w:t>
    </w:r>
    <w:r w:rsidR="008D4E92" w:rsidRPr="00E05860">
      <w:rPr>
        <w:sz w:val="24"/>
        <w:szCs w:val="24"/>
      </w:rPr>
      <w:fldChar w:fldCharType="end"/>
    </w:r>
  </w:p>
  <w:p w14:paraId="3DE9ACD5" w14:textId="084C163E" w:rsidR="008D4E92" w:rsidRDefault="008D4E92" w:rsidP="008D4E92">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80923"/>
      <w:docPartObj>
        <w:docPartGallery w:val="Page Numbers (Bottom of Page)"/>
        <w:docPartUnique/>
      </w:docPartObj>
    </w:sdtPr>
    <w:sdtEndPr/>
    <w:sdtContent>
      <w:p w14:paraId="1B39FC0C" w14:textId="220E6754" w:rsidR="00885567" w:rsidRDefault="00885567">
        <w:pPr>
          <w:pStyle w:val="Fuzeile"/>
          <w:jc w:val="center"/>
        </w:pPr>
        <w:r>
          <w:rPr>
            <w:noProof/>
            <w:lang w:eastAsia="de-AT"/>
          </w:rPr>
          <mc:AlternateContent>
            <mc:Choice Requires="wps">
              <w:drawing>
                <wp:inline distT="0" distB="0" distL="0" distR="0" wp14:anchorId="1C1F60AE" wp14:editId="1C008774">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608E7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1A871D12" w14:textId="7B2BC799" w:rsidR="00885567" w:rsidRDefault="00885567">
        <w:pPr>
          <w:pStyle w:val="Fuzeile"/>
          <w:jc w:val="center"/>
        </w:pPr>
        <w:r>
          <w:fldChar w:fldCharType="begin"/>
        </w:r>
        <w:r>
          <w:instrText>PAGE    \* MERGEFORMAT</w:instrText>
        </w:r>
        <w:r>
          <w:fldChar w:fldCharType="separate"/>
        </w:r>
        <w:r w:rsidR="004A5357" w:rsidRPr="004A5357">
          <w:rPr>
            <w:noProof/>
            <w:lang w:val="de-DE"/>
          </w:rPr>
          <w:t>1</w:t>
        </w:r>
        <w:r>
          <w:fldChar w:fldCharType="end"/>
        </w:r>
      </w:p>
    </w:sdtContent>
  </w:sdt>
  <w:p w14:paraId="28212F46" w14:textId="77777777" w:rsidR="00885567" w:rsidRDefault="008855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D6DB" w14:textId="77777777" w:rsidR="008D4E92" w:rsidRDefault="008D4E92" w:rsidP="008D4E92">
      <w:pPr>
        <w:spacing w:after="0" w:line="240" w:lineRule="auto"/>
      </w:pPr>
      <w:r>
        <w:separator/>
      </w:r>
    </w:p>
  </w:footnote>
  <w:footnote w:type="continuationSeparator" w:id="0">
    <w:p w14:paraId="4BA9B00C" w14:textId="77777777" w:rsidR="008D4E92" w:rsidRDefault="008D4E92" w:rsidP="008D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7FA2" w14:textId="223DEBCB" w:rsidR="0032701D" w:rsidRDefault="009630D9" w:rsidP="009630D9">
    <w:pPr>
      <w:pStyle w:val="Kopfzeile"/>
      <w:tabs>
        <w:tab w:val="clear" w:pos="9072"/>
        <w:tab w:val="left" w:pos="1830"/>
      </w:tabs>
    </w:pPr>
    <w:r>
      <w:rPr>
        <w:noProof/>
        <w:sz w:val="80"/>
        <w:szCs w:val="80"/>
        <w:lang w:eastAsia="de-AT"/>
      </w:rPr>
      <w:drawing>
        <wp:anchor distT="0" distB="0" distL="114300" distR="114300" simplePos="0" relativeHeight="251659264" behindDoc="0" locked="0" layoutInCell="1" allowOverlap="1" wp14:anchorId="0BD6AC23" wp14:editId="55E1F944">
          <wp:simplePos x="0" y="0"/>
          <wp:positionH relativeFrom="column">
            <wp:posOffset>-170180</wp:posOffset>
          </wp:positionH>
          <wp:positionV relativeFrom="paragraph">
            <wp:posOffset>66040</wp:posOffset>
          </wp:positionV>
          <wp:extent cx="1609725" cy="516890"/>
          <wp:effectExtent l="0" t="0" r="0" b="0"/>
          <wp:wrapNone/>
          <wp:docPr id="12"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Beschreibung: AMA_4c_Pfad_klein"/>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C3B">
      <w:rPr>
        <w:noProof/>
        <w:lang w:eastAsia="de-AT"/>
      </w:rPr>
      <w:drawing>
        <wp:anchor distT="0" distB="0" distL="114300" distR="114300" simplePos="0" relativeHeight="251661312" behindDoc="0" locked="0" layoutInCell="1" allowOverlap="1" wp14:anchorId="314AA291" wp14:editId="70CBCF70">
          <wp:simplePos x="0" y="0"/>
          <wp:positionH relativeFrom="column">
            <wp:posOffset>1781175</wp:posOffset>
          </wp:positionH>
          <wp:positionV relativeFrom="paragraph">
            <wp:posOffset>-98425</wp:posOffset>
          </wp:positionV>
          <wp:extent cx="4133850" cy="729074"/>
          <wp:effectExtent l="0" t="0" r="0" b="0"/>
          <wp:wrapNone/>
          <wp:docPr id="11" name="Grafik 11" descr="C:\Users\ganzer.AMADOM\AppData\Local\Temp\Temp1_1_Foeg_Leiste_Bund+ELER+EU_2020.zip\1_Foeg_Leiste_Bund+ELER+EU_20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zer.AMADOM\AppData\Local\Temp\Temp1_1_Foeg_Leiste_Bund+ELER+EU_2020.zip\1_Foeg_Leiste_Bund+ELER+EU_20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33850" cy="72907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429AA"/>
    <w:multiLevelType w:val="hybridMultilevel"/>
    <w:tmpl w:val="4056A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475EFE"/>
    <w:multiLevelType w:val="hybridMultilevel"/>
    <w:tmpl w:val="F6DE3FBA"/>
    <w:lvl w:ilvl="0" w:tplc="19FE8B5E">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BC5AFB"/>
    <w:multiLevelType w:val="multilevel"/>
    <w:tmpl w:val="442CC528"/>
    <w:lvl w:ilvl="0">
      <w:start w:val="1"/>
      <w:numFmt w:val="decimal"/>
      <w:pStyle w:val="SRL1"/>
      <w:lvlText w:val="%1"/>
      <w:lvlJc w:val="left"/>
      <w:pPr>
        <w:tabs>
          <w:tab w:val="num" w:pos="8648"/>
        </w:tabs>
        <w:ind w:left="8648" w:hanging="1134"/>
      </w:pPr>
      <w:rPr>
        <w:rFonts w:hint="default"/>
        <w:sz w:val="32"/>
        <w:szCs w:val="32"/>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276"/>
        </w:tabs>
        <w:ind w:left="1276" w:hanging="113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8861E9"/>
    <w:multiLevelType w:val="multilevel"/>
    <w:tmpl w:val="EA543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RL3nichtfet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AF315B"/>
    <w:multiLevelType w:val="hybridMultilevel"/>
    <w:tmpl w:val="2B666546"/>
    <w:lvl w:ilvl="0" w:tplc="1CD20BC4">
      <w:start w:val="2"/>
      <w:numFmt w:val="bullet"/>
      <w:lvlText w:val="-"/>
      <w:lvlJc w:val="left"/>
      <w:pPr>
        <w:ind w:left="720" w:hanging="360"/>
      </w:pPr>
      <w:rPr>
        <w:rFonts w:ascii="Calibri" w:eastAsiaTheme="minorEastAsia" w:hAnsi="Calibri" w:cs="Calibri" w:hint="default"/>
      </w:rPr>
    </w:lvl>
    <w:lvl w:ilvl="1" w:tplc="1CD20BC4">
      <w:start w:val="2"/>
      <w:numFmt w:val="bullet"/>
      <w:lvlText w:val="-"/>
      <w:lvlJc w:val="left"/>
      <w:pPr>
        <w:ind w:left="1440" w:hanging="360"/>
      </w:pPr>
      <w:rPr>
        <w:rFonts w:ascii="Calibri" w:eastAsiaTheme="minorEastAsia"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9406A6"/>
    <w:multiLevelType w:val="hybridMultilevel"/>
    <w:tmpl w:val="7A742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E125EC"/>
    <w:multiLevelType w:val="hybridMultilevel"/>
    <w:tmpl w:val="05DAC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1D0713"/>
    <w:multiLevelType w:val="hybridMultilevel"/>
    <w:tmpl w:val="9558EFB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9" w15:restartNumberingAfterBreak="0">
    <w:nsid w:val="6F5B3557"/>
    <w:multiLevelType w:val="hybridMultilevel"/>
    <w:tmpl w:val="E51058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7107E13"/>
    <w:multiLevelType w:val="hybridMultilevel"/>
    <w:tmpl w:val="E946C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FF06CA2"/>
    <w:multiLevelType w:val="hybridMultilevel"/>
    <w:tmpl w:val="6D6E8C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10"/>
  </w:num>
  <w:num w:numId="8">
    <w:abstractNumId w:val="7"/>
  </w:num>
  <w:num w:numId="9">
    <w:abstractNumId w:val="8"/>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C1"/>
    <w:rsid w:val="000061FD"/>
    <w:rsid w:val="00006302"/>
    <w:rsid w:val="0001142B"/>
    <w:rsid w:val="000120BD"/>
    <w:rsid w:val="000349D1"/>
    <w:rsid w:val="0004407B"/>
    <w:rsid w:val="00054D00"/>
    <w:rsid w:val="00061698"/>
    <w:rsid w:val="00081811"/>
    <w:rsid w:val="000818E7"/>
    <w:rsid w:val="000922E6"/>
    <w:rsid w:val="000A7585"/>
    <w:rsid w:val="000C757E"/>
    <w:rsid w:val="000D1D6F"/>
    <w:rsid w:val="000E16E1"/>
    <w:rsid w:val="000E4683"/>
    <w:rsid w:val="001012BC"/>
    <w:rsid w:val="00130E05"/>
    <w:rsid w:val="001322E8"/>
    <w:rsid w:val="00136D44"/>
    <w:rsid w:val="001653EE"/>
    <w:rsid w:val="001728C2"/>
    <w:rsid w:val="00175504"/>
    <w:rsid w:val="00181EF9"/>
    <w:rsid w:val="001928A5"/>
    <w:rsid w:val="001A6B13"/>
    <w:rsid w:val="001B2439"/>
    <w:rsid w:val="001B4144"/>
    <w:rsid w:val="001C503E"/>
    <w:rsid w:val="001C59FF"/>
    <w:rsid w:val="001D0E75"/>
    <w:rsid w:val="001E4E6F"/>
    <w:rsid w:val="001F17A2"/>
    <w:rsid w:val="001F2493"/>
    <w:rsid w:val="001F5699"/>
    <w:rsid w:val="001F6604"/>
    <w:rsid w:val="001F6E3C"/>
    <w:rsid w:val="001F7FE2"/>
    <w:rsid w:val="0021781A"/>
    <w:rsid w:val="0022435A"/>
    <w:rsid w:val="002415E6"/>
    <w:rsid w:val="00262CB7"/>
    <w:rsid w:val="002804C6"/>
    <w:rsid w:val="002A1BCD"/>
    <w:rsid w:val="002B2A43"/>
    <w:rsid w:val="002C0B38"/>
    <w:rsid w:val="002C6266"/>
    <w:rsid w:val="002D2E2F"/>
    <w:rsid w:val="002E20AB"/>
    <w:rsid w:val="002E28DA"/>
    <w:rsid w:val="002F08ED"/>
    <w:rsid w:val="0032701D"/>
    <w:rsid w:val="00330886"/>
    <w:rsid w:val="00331996"/>
    <w:rsid w:val="003351A4"/>
    <w:rsid w:val="00340E9B"/>
    <w:rsid w:val="00344E00"/>
    <w:rsid w:val="0035080F"/>
    <w:rsid w:val="003623C8"/>
    <w:rsid w:val="003638F7"/>
    <w:rsid w:val="00383665"/>
    <w:rsid w:val="003974A0"/>
    <w:rsid w:val="003A382F"/>
    <w:rsid w:val="003A702B"/>
    <w:rsid w:val="003D68BB"/>
    <w:rsid w:val="003E2764"/>
    <w:rsid w:val="003F1494"/>
    <w:rsid w:val="003F5905"/>
    <w:rsid w:val="00401927"/>
    <w:rsid w:val="00407822"/>
    <w:rsid w:val="00417226"/>
    <w:rsid w:val="00423413"/>
    <w:rsid w:val="004254D8"/>
    <w:rsid w:val="00435918"/>
    <w:rsid w:val="004363C3"/>
    <w:rsid w:val="00443F7F"/>
    <w:rsid w:val="004565BC"/>
    <w:rsid w:val="004633AA"/>
    <w:rsid w:val="00495F8C"/>
    <w:rsid w:val="004A4632"/>
    <w:rsid w:val="004A5357"/>
    <w:rsid w:val="004A6D5F"/>
    <w:rsid w:val="004B0FE9"/>
    <w:rsid w:val="004B7D05"/>
    <w:rsid w:val="004D2AE6"/>
    <w:rsid w:val="004E6CAA"/>
    <w:rsid w:val="004F3BF5"/>
    <w:rsid w:val="005023E5"/>
    <w:rsid w:val="00513678"/>
    <w:rsid w:val="00525B32"/>
    <w:rsid w:val="0053387F"/>
    <w:rsid w:val="00534ABA"/>
    <w:rsid w:val="0053534A"/>
    <w:rsid w:val="00554996"/>
    <w:rsid w:val="00581AF5"/>
    <w:rsid w:val="00590872"/>
    <w:rsid w:val="00592DB0"/>
    <w:rsid w:val="005A4C93"/>
    <w:rsid w:val="005C5796"/>
    <w:rsid w:val="005D77BA"/>
    <w:rsid w:val="005E27CF"/>
    <w:rsid w:val="005F68E3"/>
    <w:rsid w:val="006009FA"/>
    <w:rsid w:val="006016A3"/>
    <w:rsid w:val="00602298"/>
    <w:rsid w:val="0060571C"/>
    <w:rsid w:val="00605EB7"/>
    <w:rsid w:val="00623950"/>
    <w:rsid w:val="006258D7"/>
    <w:rsid w:val="0063214A"/>
    <w:rsid w:val="00641A83"/>
    <w:rsid w:val="00670033"/>
    <w:rsid w:val="00676B4D"/>
    <w:rsid w:val="006A62F1"/>
    <w:rsid w:val="006B3A9C"/>
    <w:rsid w:val="006C3522"/>
    <w:rsid w:val="006C5B52"/>
    <w:rsid w:val="006D1FA7"/>
    <w:rsid w:val="006D333F"/>
    <w:rsid w:val="006F7A40"/>
    <w:rsid w:val="007015A3"/>
    <w:rsid w:val="00706E5A"/>
    <w:rsid w:val="00716E42"/>
    <w:rsid w:val="007262EB"/>
    <w:rsid w:val="00737E4A"/>
    <w:rsid w:val="00741B7E"/>
    <w:rsid w:val="00745D07"/>
    <w:rsid w:val="00755790"/>
    <w:rsid w:val="0076588E"/>
    <w:rsid w:val="00766788"/>
    <w:rsid w:val="0076788B"/>
    <w:rsid w:val="00773E39"/>
    <w:rsid w:val="007A0B5C"/>
    <w:rsid w:val="007C0941"/>
    <w:rsid w:val="007C6261"/>
    <w:rsid w:val="007D09F6"/>
    <w:rsid w:val="007E47DD"/>
    <w:rsid w:val="007E4F46"/>
    <w:rsid w:val="00824D4A"/>
    <w:rsid w:val="00834C85"/>
    <w:rsid w:val="008373E4"/>
    <w:rsid w:val="00851C73"/>
    <w:rsid w:val="00882741"/>
    <w:rsid w:val="00885567"/>
    <w:rsid w:val="008C3344"/>
    <w:rsid w:val="008D1AEF"/>
    <w:rsid w:val="008D4E92"/>
    <w:rsid w:val="00923261"/>
    <w:rsid w:val="00927B19"/>
    <w:rsid w:val="00961C26"/>
    <w:rsid w:val="009630D9"/>
    <w:rsid w:val="009871B1"/>
    <w:rsid w:val="009A2B1A"/>
    <w:rsid w:val="009C10FA"/>
    <w:rsid w:val="009D01E9"/>
    <w:rsid w:val="009D48CA"/>
    <w:rsid w:val="009E31A2"/>
    <w:rsid w:val="009F4C52"/>
    <w:rsid w:val="00A068E8"/>
    <w:rsid w:val="00A10F61"/>
    <w:rsid w:val="00A15CC4"/>
    <w:rsid w:val="00A40E5E"/>
    <w:rsid w:val="00A50A25"/>
    <w:rsid w:val="00A54B6D"/>
    <w:rsid w:val="00A760A1"/>
    <w:rsid w:val="00A812EA"/>
    <w:rsid w:val="00A95778"/>
    <w:rsid w:val="00A976C1"/>
    <w:rsid w:val="00AA09FE"/>
    <w:rsid w:val="00AA41DD"/>
    <w:rsid w:val="00AC3E85"/>
    <w:rsid w:val="00AC787C"/>
    <w:rsid w:val="00AD552E"/>
    <w:rsid w:val="00AD759B"/>
    <w:rsid w:val="00AF75A1"/>
    <w:rsid w:val="00B23AA3"/>
    <w:rsid w:val="00B24FA7"/>
    <w:rsid w:val="00B432FB"/>
    <w:rsid w:val="00B526D8"/>
    <w:rsid w:val="00B57510"/>
    <w:rsid w:val="00B668B9"/>
    <w:rsid w:val="00B71859"/>
    <w:rsid w:val="00B81AF2"/>
    <w:rsid w:val="00B95640"/>
    <w:rsid w:val="00BA3584"/>
    <w:rsid w:val="00BC180B"/>
    <w:rsid w:val="00BC182A"/>
    <w:rsid w:val="00BD31AB"/>
    <w:rsid w:val="00BE08D9"/>
    <w:rsid w:val="00C03B63"/>
    <w:rsid w:val="00C03C87"/>
    <w:rsid w:val="00C0499E"/>
    <w:rsid w:val="00C054EB"/>
    <w:rsid w:val="00C16597"/>
    <w:rsid w:val="00C16757"/>
    <w:rsid w:val="00C43686"/>
    <w:rsid w:val="00C455AE"/>
    <w:rsid w:val="00C46E9D"/>
    <w:rsid w:val="00C50589"/>
    <w:rsid w:val="00C51F12"/>
    <w:rsid w:val="00C526D4"/>
    <w:rsid w:val="00C57EC6"/>
    <w:rsid w:val="00C65AA8"/>
    <w:rsid w:val="00C67288"/>
    <w:rsid w:val="00C70DA8"/>
    <w:rsid w:val="00C743C1"/>
    <w:rsid w:val="00C76E5C"/>
    <w:rsid w:val="00C86F6F"/>
    <w:rsid w:val="00CA79D7"/>
    <w:rsid w:val="00CD2C87"/>
    <w:rsid w:val="00CD6265"/>
    <w:rsid w:val="00CF4284"/>
    <w:rsid w:val="00D11E30"/>
    <w:rsid w:val="00D122C7"/>
    <w:rsid w:val="00D307C7"/>
    <w:rsid w:val="00D342BB"/>
    <w:rsid w:val="00D37DCB"/>
    <w:rsid w:val="00D551ED"/>
    <w:rsid w:val="00D70F6C"/>
    <w:rsid w:val="00D7282A"/>
    <w:rsid w:val="00D76ABB"/>
    <w:rsid w:val="00D81756"/>
    <w:rsid w:val="00D94677"/>
    <w:rsid w:val="00D947BA"/>
    <w:rsid w:val="00DA396A"/>
    <w:rsid w:val="00DA6BE6"/>
    <w:rsid w:val="00DB0C9B"/>
    <w:rsid w:val="00DB5512"/>
    <w:rsid w:val="00DC4019"/>
    <w:rsid w:val="00DC75F4"/>
    <w:rsid w:val="00DD2ED6"/>
    <w:rsid w:val="00DF5E56"/>
    <w:rsid w:val="00DF739A"/>
    <w:rsid w:val="00E05860"/>
    <w:rsid w:val="00E47490"/>
    <w:rsid w:val="00E47FAE"/>
    <w:rsid w:val="00E6755D"/>
    <w:rsid w:val="00EA114E"/>
    <w:rsid w:val="00EA5FC8"/>
    <w:rsid w:val="00EB4C48"/>
    <w:rsid w:val="00EC25E5"/>
    <w:rsid w:val="00EC665B"/>
    <w:rsid w:val="00ED7D12"/>
    <w:rsid w:val="00EE5DC1"/>
    <w:rsid w:val="00EF3393"/>
    <w:rsid w:val="00F013F4"/>
    <w:rsid w:val="00F172A1"/>
    <w:rsid w:val="00F17F37"/>
    <w:rsid w:val="00F202D6"/>
    <w:rsid w:val="00F21DD3"/>
    <w:rsid w:val="00F252B0"/>
    <w:rsid w:val="00F370B2"/>
    <w:rsid w:val="00F40E4B"/>
    <w:rsid w:val="00F46163"/>
    <w:rsid w:val="00F546EB"/>
    <w:rsid w:val="00F60F4B"/>
    <w:rsid w:val="00F75460"/>
    <w:rsid w:val="00F76D6E"/>
    <w:rsid w:val="00F80582"/>
    <w:rsid w:val="00F8062B"/>
    <w:rsid w:val="00F82308"/>
    <w:rsid w:val="00F957D9"/>
    <w:rsid w:val="00FC3755"/>
    <w:rsid w:val="00FC41EF"/>
    <w:rsid w:val="00FD2274"/>
    <w:rsid w:val="00FF0E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339C137"/>
  <w15:chartTrackingRefBased/>
  <w15:docId w15:val="{14E76669-9A5C-4EFD-A169-98332B6E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A976C1"/>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Head Zchn"/>
    <w:basedOn w:val="Absatz-Standardschriftart"/>
    <w:link w:val="berschrift1"/>
    <w:rsid w:val="00A976C1"/>
    <w:rPr>
      <w:rFonts w:ascii="Arial" w:eastAsia="Times New Roman" w:hAnsi="Arial" w:cs="Times New Roman"/>
      <w:bCs/>
      <w:caps/>
      <w:color w:val="FFFFFF" w:themeColor="background1"/>
      <w:sz w:val="30"/>
      <w:shd w:val="clear" w:color="auto" w:fill="82AB28"/>
      <w:lang w:val="en-GB"/>
    </w:rPr>
  </w:style>
  <w:style w:type="paragraph" w:styleId="Listenabsatz">
    <w:name w:val="List Paragraph"/>
    <w:basedOn w:val="Standard"/>
    <w:uiPriority w:val="34"/>
    <w:qFormat/>
    <w:rsid w:val="00A976C1"/>
    <w:pPr>
      <w:spacing w:after="200" w:line="276" w:lineRule="auto"/>
      <w:ind w:left="720"/>
      <w:contextualSpacing/>
    </w:pPr>
  </w:style>
  <w:style w:type="table" w:styleId="Tabellenraster">
    <w:name w:val="Table Grid"/>
    <w:basedOn w:val="NormaleTabelle"/>
    <w:uiPriority w:val="59"/>
    <w:rsid w:val="00EA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202D6"/>
    <w:rPr>
      <w:sz w:val="16"/>
      <w:szCs w:val="16"/>
    </w:rPr>
  </w:style>
  <w:style w:type="paragraph" w:styleId="Kommentartext">
    <w:name w:val="annotation text"/>
    <w:basedOn w:val="Standard"/>
    <w:link w:val="KommentartextZchn"/>
    <w:uiPriority w:val="99"/>
    <w:semiHidden/>
    <w:unhideWhenUsed/>
    <w:rsid w:val="00F20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2D6"/>
    <w:rPr>
      <w:sz w:val="20"/>
      <w:szCs w:val="20"/>
    </w:rPr>
  </w:style>
  <w:style w:type="paragraph" w:styleId="Kommentarthema">
    <w:name w:val="annotation subject"/>
    <w:basedOn w:val="Kommentartext"/>
    <w:next w:val="Kommentartext"/>
    <w:link w:val="KommentarthemaZchn"/>
    <w:uiPriority w:val="99"/>
    <w:semiHidden/>
    <w:unhideWhenUsed/>
    <w:rsid w:val="00F202D6"/>
    <w:rPr>
      <w:b/>
      <w:bCs/>
    </w:rPr>
  </w:style>
  <w:style w:type="character" w:customStyle="1" w:styleId="KommentarthemaZchn">
    <w:name w:val="Kommentarthema Zchn"/>
    <w:basedOn w:val="KommentartextZchn"/>
    <w:link w:val="Kommentarthema"/>
    <w:uiPriority w:val="99"/>
    <w:semiHidden/>
    <w:rsid w:val="00F202D6"/>
    <w:rPr>
      <w:b/>
      <w:bCs/>
      <w:sz w:val="20"/>
      <w:szCs w:val="20"/>
    </w:rPr>
  </w:style>
  <w:style w:type="paragraph" w:styleId="Sprechblasentext">
    <w:name w:val="Balloon Text"/>
    <w:basedOn w:val="Standard"/>
    <w:link w:val="SprechblasentextZchn"/>
    <w:uiPriority w:val="99"/>
    <w:semiHidden/>
    <w:unhideWhenUsed/>
    <w:rsid w:val="00F202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2D6"/>
    <w:rPr>
      <w:rFonts w:ascii="Segoe UI" w:hAnsi="Segoe UI" w:cs="Segoe UI"/>
      <w:sz w:val="18"/>
      <w:szCs w:val="18"/>
    </w:rPr>
  </w:style>
  <w:style w:type="character" w:styleId="Hyperlink">
    <w:name w:val="Hyperlink"/>
    <w:basedOn w:val="Absatz-Standardschriftart"/>
    <w:uiPriority w:val="99"/>
    <w:unhideWhenUsed/>
    <w:rsid w:val="009F4C52"/>
    <w:rPr>
      <w:color w:val="0563C1" w:themeColor="hyperlink"/>
      <w:u w:val="single"/>
    </w:rPr>
  </w:style>
  <w:style w:type="paragraph" w:styleId="Kopfzeile">
    <w:name w:val="header"/>
    <w:basedOn w:val="Standard"/>
    <w:link w:val="KopfzeileZchn"/>
    <w:uiPriority w:val="99"/>
    <w:unhideWhenUsed/>
    <w:rsid w:val="008D4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E92"/>
  </w:style>
  <w:style w:type="paragraph" w:styleId="Fuzeile">
    <w:name w:val="footer"/>
    <w:basedOn w:val="Standard"/>
    <w:link w:val="FuzeileZchn"/>
    <w:uiPriority w:val="99"/>
    <w:unhideWhenUsed/>
    <w:rsid w:val="008D4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E92"/>
  </w:style>
  <w:style w:type="paragraph" w:styleId="Funotentext">
    <w:name w:val="footnote text"/>
    <w:basedOn w:val="Standard"/>
    <w:link w:val="FunotentextZchn"/>
    <w:uiPriority w:val="99"/>
    <w:semiHidden/>
    <w:unhideWhenUsed/>
    <w:rsid w:val="006D1F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1FA7"/>
    <w:rPr>
      <w:sz w:val="20"/>
      <w:szCs w:val="20"/>
    </w:rPr>
  </w:style>
  <w:style w:type="character" w:styleId="Funotenzeichen">
    <w:name w:val="footnote reference"/>
    <w:basedOn w:val="Absatz-Standardschriftart"/>
    <w:uiPriority w:val="99"/>
    <w:semiHidden/>
    <w:unhideWhenUsed/>
    <w:rsid w:val="006D1FA7"/>
    <w:rPr>
      <w:vertAlign w:val="superscript"/>
    </w:rPr>
  </w:style>
  <w:style w:type="paragraph" w:customStyle="1" w:styleId="SRL1">
    <w:name w:val="SRL Ü1"/>
    <w:next w:val="Standard"/>
    <w:rsid w:val="00513678"/>
    <w:pPr>
      <w:pageBreakBefore/>
      <w:numPr>
        <w:numId w:val="2"/>
      </w:numPr>
      <w:tabs>
        <w:tab w:val="clear" w:pos="8648"/>
        <w:tab w:val="num" w:pos="1134"/>
      </w:tabs>
      <w:spacing w:before="360" w:after="240" w:line="240" w:lineRule="auto"/>
      <w:ind w:left="1134"/>
      <w:outlineLvl w:val="0"/>
    </w:pPr>
    <w:rPr>
      <w:rFonts w:ascii="Arial" w:eastAsia="Times New Roman" w:hAnsi="Arial" w:cs="Times New Roman"/>
      <w:b/>
      <w:sz w:val="32"/>
      <w:szCs w:val="32"/>
      <w:lang w:eastAsia="de-AT"/>
    </w:rPr>
  </w:style>
  <w:style w:type="paragraph" w:customStyle="1" w:styleId="SRL2">
    <w:name w:val="SRL Ü2"/>
    <w:basedOn w:val="SRL1"/>
    <w:next w:val="Standard"/>
    <w:rsid w:val="00513678"/>
    <w:pPr>
      <w:pageBreakBefore w:val="0"/>
      <w:numPr>
        <w:ilvl w:val="1"/>
      </w:numPr>
      <w:spacing w:after="120"/>
      <w:outlineLvl w:val="1"/>
    </w:pPr>
    <w:rPr>
      <w:sz w:val="28"/>
      <w:szCs w:val="28"/>
    </w:rPr>
  </w:style>
  <w:style w:type="paragraph" w:customStyle="1" w:styleId="SRL3">
    <w:name w:val="SRL Ü3"/>
    <w:basedOn w:val="SRL2"/>
    <w:next w:val="Standard"/>
    <w:rsid w:val="00513678"/>
    <w:pPr>
      <w:numPr>
        <w:ilvl w:val="2"/>
      </w:numPr>
      <w:tabs>
        <w:tab w:val="left" w:pos="1134"/>
      </w:tabs>
      <w:spacing w:before="240"/>
      <w:ind w:left="1134"/>
      <w:outlineLvl w:val="2"/>
    </w:pPr>
    <w:rPr>
      <w:sz w:val="22"/>
      <w:szCs w:val="24"/>
    </w:rPr>
  </w:style>
  <w:style w:type="paragraph" w:customStyle="1" w:styleId="SRLE1">
    <w:name w:val="SRL E1"/>
    <w:basedOn w:val="Standard"/>
    <w:next w:val="Standard"/>
    <w:link w:val="SRLE1Char"/>
    <w:rsid w:val="00513678"/>
    <w:pPr>
      <w:tabs>
        <w:tab w:val="left" w:pos="1134"/>
      </w:tabs>
      <w:spacing w:before="120" w:after="0" w:line="240" w:lineRule="auto"/>
      <w:ind w:left="1134"/>
      <w:jc w:val="both"/>
    </w:pPr>
    <w:rPr>
      <w:rFonts w:ascii="Arial" w:eastAsia="Times New Roman" w:hAnsi="Arial" w:cs="Times New Roman"/>
      <w:sz w:val="20"/>
      <w:szCs w:val="20"/>
      <w:lang w:eastAsia="de-AT"/>
    </w:rPr>
  </w:style>
  <w:style w:type="paragraph" w:customStyle="1" w:styleId="SRL4">
    <w:name w:val="SRL Ü4"/>
    <w:basedOn w:val="SRL3"/>
    <w:next w:val="Standard"/>
    <w:link w:val="SRL4Char"/>
    <w:autoRedefine/>
    <w:rsid w:val="00513678"/>
    <w:pPr>
      <w:numPr>
        <w:ilvl w:val="3"/>
      </w:numPr>
      <w:spacing w:after="0"/>
      <w:ind w:left="1134"/>
      <w:jc w:val="both"/>
      <w:outlineLvl w:val="3"/>
    </w:pPr>
    <w:rPr>
      <w:rFonts w:eastAsia="Calibri"/>
      <w:b w:val="0"/>
      <w:sz w:val="20"/>
      <w:szCs w:val="20"/>
      <w:lang w:val="de-DE"/>
    </w:rPr>
  </w:style>
  <w:style w:type="character" w:customStyle="1" w:styleId="SRLE1Char">
    <w:name w:val="SRL E1 Char"/>
    <w:link w:val="SRLE1"/>
    <w:rsid w:val="00513678"/>
    <w:rPr>
      <w:rFonts w:ascii="Arial" w:eastAsia="Times New Roman" w:hAnsi="Arial" w:cs="Times New Roman"/>
      <w:sz w:val="20"/>
      <w:szCs w:val="20"/>
      <w:lang w:eastAsia="de-AT"/>
    </w:rPr>
  </w:style>
  <w:style w:type="character" w:customStyle="1" w:styleId="SRL4Char">
    <w:name w:val="SRL Ü4 Char"/>
    <w:link w:val="SRL4"/>
    <w:rsid w:val="00513678"/>
    <w:rPr>
      <w:rFonts w:ascii="Arial" w:eastAsia="Calibri" w:hAnsi="Arial" w:cs="Times New Roman"/>
      <w:sz w:val="20"/>
      <w:szCs w:val="20"/>
      <w:lang w:val="de-DE" w:eastAsia="de-AT"/>
    </w:rPr>
  </w:style>
  <w:style w:type="paragraph" w:customStyle="1" w:styleId="SRL3nichtfett">
    <w:name w:val="SRL Ü3 nicht fett"/>
    <w:basedOn w:val="SRL3"/>
    <w:next w:val="Standard"/>
    <w:link w:val="SRL3nichtfettChar"/>
    <w:autoRedefine/>
    <w:qFormat/>
    <w:rsid w:val="0001142B"/>
    <w:pPr>
      <w:numPr>
        <w:numId w:val="6"/>
      </w:numPr>
      <w:tabs>
        <w:tab w:val="num" w:pos="1134"/>
      </w:tabs>
      <w:ind w:left="1134"/>
      <w:jc w:val="both"/>
    </w:pPr>
    <w:rPr>
      <w:rFonts w:eastAsia="Calibri"/>
      <w:b w:val="0"/>
      <w:sz w:val="20"/>
      <w:lang w:val="de-DE" w:eastAsia="en-US"/>
    </w:rPr>
  </w:style>
  <w:style w:type="character" w:customStyle="1" w:styleId="SRL3nichtfettChar">
    <w:name w:val="SRL Ü3 nicht fett Char"/>
    <w:link w:val="SRL3nichtfett"/>
    <w:rsid w:val="0001142B"/>
    <w:rPr>
      <w:rFonts w:ascii="Arial" w:eastAsia="Calibri" w:hAnsi="Arial" w:cs="Times New Roman"/>
      <w:sz w:val="20"/>
      <w:szCs w:val="24"/>
      <w:lang w:val="de-DE"/>
    </w:rPr>
  </w:style>
  <w:style w:type="table" w:styleId="Listentabelle4Akzent3">
    <w:name w:val="List Table 4 Accent 3"/>
    <w:basedOn w:val="NormaleTabelle"/>
    <w:uiPriority w:val="49"/>
    <w:rsid w:val="00397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D2C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projekte@ama.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5B9EC-AAD1-464D-98EF-4476E03C5ADA}">
  <ds:schemaRefs>
    <ds:schemaRef ds:uri="http://schemas.openxmlformats.org/officeDocument/2006/bibliography"/>
  </ds:schemaRefs>
</ds:datastoreItem>
</file>

<file path=customXml/itemProps2.xml><?xml version="1.0" encoding="utf-8"?>
<ds:datastoreItem xmlns:ds="http://schemas.openxmlformats.org/officeDocument/2006/customXml" ds:itemID="{971111E8-0656-4929-9AB8-CA63ACB3E346}"/>
</file>

<file path=customXml/itemProps3.xml><?xml version="1.0" encoding="utf-8"?>
<ds:datastoreItem xmlns:ds="http://schemas.openxmlformats.org/officeDocument/2006/customXml" ds:itemID="{EE87C044-758B-4E5B-AC5D-40E5766F741C}"/>
</file>

<file path=customXml/itemProps4.xml><?xml version="1.0" encoding="utf-8"?>
<ds:datastoreItem xmlns:ds="http://schemas.openxmlformats.org/officeDocument/2006/customXml" ds:itemID="{07FCFED0-3A87-4000-B9C9-C7A182352EAD}"/>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AgrarMarktAustria</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Anita</dc:creator>
  <cp:keywords/>
  <dc:description/>
  <cp:lastModifiedBy>Berger Barbara</cp:lastModifiedBy>
  <cp:revision>5</cp:revision>
  <cp:lastPrinted>2020-02-14T10:12:00Z</cp:lastPrinted>
  <dcterms:created xsi:type="dcterms:W3CDTF">2021-10-01T09:33:00Z</dcterms:created>
  <dcterms:modified xsi:type="dcterms:W3CDTF">2021-10-08T07:48:00Z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